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FF1F53">
      <w:pPr>
        <w:adjustRightInd w:val="0"/>
        <w:snapToGrid w:val="0"/>
        <w:jc w:val="center"/>
        <w:outlineLvl w:val="0"/>
        <w:rPr>
          <w:rFonts w:hint="eastAsia" w:ascii="微软雅黑" w:hAnsi="微软雅黑" w:eastAsia="微软雅黑"/>
          <w:b/>
          <w:bCs/>
          <w:szCs w:val="21"/>
        </w:rPr>
      </w:pPr>
      <w:r>
        <w:rPr>
          <w:rFonts w:hint="eastAsia" w:ascii="微软雅黑" w:hAnsi="微软雅黑" w:eastAsia="微软雅黑"/>
          <w:b/>
          <w:bCs/>
          <w:szCs w:val="21"/>
        </w:rPr>
        <w:t>投保须知</w:t>
      </w:r>
    </w:p>
    <w:p w14:paraId="2E6129A5">
      <w:pPr>
        <w:pStyle w:val="12"/>
        <w:adjustRightInd w:val="0"/>
        <w:snapToGrid w:val="0"/>
        <w:ind w:firstLine="0" w:firstLineChars="0"/>
        <w:outlineLvl w:val="0"/>
        <w:rPr>
          <w:rFonts w:hint="eastAsia" w:ascii="微软雅黑" w:hAnsi="微软雅黑" w:eastAsia="微软雅黑"/>
          <w:b/>
          <w:bCs/>
          <w:szCs w:val="21"/>
        </w:rPr>
      </w:pPr>
      <w:r>
        <w:rPr>
          <w:rFonts w:hint="eastAsia" w:ascii="微软雅黑" w:hAnsi="微软雅黑" w:eastAsia="微软雅黑"/>
          <w:b/>
          <w:bCs/>
          <w:szCs w:val="21"/>
        </w:rPr>
        <w:t>特别提示：</w:t>
      </w:r>
    </w:p>
    <w:p w14:paraId="00130987">
      <w:pPr>
        <w:pStyle w:val="12"/>
        <w:numPr>
          <w:ilvl w:val="0"/>
          <w:numId w:val="1"/>
        </w:numPr>
        <w:adjustRightInd w:val="0"/>
        <w:snapToGrid w:val="0"/>
        <w:ind w:firstLineChars="0"/>
        <w:outlineLvl w:val="0"/>
        <w:rPr>
          <w:rFonts w:hint="eastAsia" w:ascii="微软雅黑" w:hAnsi="微软雅黑" w:eastAsia="微软雅黑"/>
          <w:b/>
          <w:bCs/>
          <w:szCs w:val="21"/>
        </w:rPr>
      </w:pPr>
      <w:r>
        <w:rPr>
          <w:rFonts w:hint="eastAsia" w:ascii="微软雅黑" w:hAnsi="微软雅黑" w:eastAsia="微软雅黑"/>
          <w:b/>
          <w:bCs/>
          <w:szCs w:val="21"/>
        </w:rPr>
        <w:t>本页面为转保专用版产品页面，本版本</w:t>
      </w:r>
      <w:r>
        <w:rPr>
          <w:rFonts w:hint="eastAsia" w:ascii="微软雅黑" w:hAnsi="微软雅黑" w:eastAsia="微软雅黑"/>
          <w:b/>
          <w:bCs/>
          <w:szCs w:val="21"/>
          <w:highlight w:val="yellow"/>
        </w:rPr>
        <w:t>仅接受上年度持有</w:t>
      </w:r>
      <w:r>
        <w:rPr>
          <w:rFonts w:hint="eastAsia" w:ascii="微软雅黑" w:hAnsi="微软雅黑" w:eastAsia="微软雅黑"/>
          <w:b/>
          <w:bCs/>
          <w:szCs w:val="21"/>
          <w:highlight w:val="yellow"/>
          <w:u w:val="single"/>
        </w:rPr>
        <w:t>完全符合</w:t>
      </w:r>
      <w:r>
        <w:rPr>
          <w:rFonts w:hint="eastAsia" w:ascii="微软雅黑" w:hAnsi="微软雅黑" w:eastAsia="微软雅黑"/>
          <w:b/>
          <w:bCs/>
          <w:szCs w:val="21"/>
          <w:highlight w:val="yellow"/>
        </w:rPr>
        <w:t>转保规则</w:t>
      </w:r>
      <w:r>
        <w:rPr>
          <w:rFonts w:hint="eastAsia" w:ascii="微软雅黑" w:hAnsi="微软雅黑" w:eastAsia="微软雅黑"/>
          <w:b/>
          <w:bCs/>
          <w:szCs w:val="21"/>
          <w:highlight w:val="yellow"/>
          <w:u w:val="single"/>
        </w:rPr>
        <w:t>同业个人商业医疗保险合同</w:t>
      </w:r>
      <w:r>
        <w:rPr>
          <w:rFonts w:hint="eastAsia" w:ascii="微软雅黑" w:hAnsi="微软雅黑" w:eastAsia="微软雅黑"/>
          <w:b/>
          <w:bCs/>
          <w:szCs w:val="21"/>
          <w:highlight w:val="yellow"/>
        </w:rPr>
        <w:t>的被保险人投保</w:t>
      </w:r>
      <w:r>
        <w:rPr>
          <w:rFonts w:hint="eastAsia" w:ascii="微软雅黑" w:hAnsi="微软雅黑" w:eastAsia="微软雅黑"/>
          <w:b/>
          <w:bCs/>
          <w:szCs w:val="21"/>
        </w:rPr>
        <w:t>：</w:t>
      </w:r>
    </w:p>
    <w:p w14:paraId="09BE3626">
      <w:pPr>
        <w:pStyle w:val="12"/>
        <w:numPr>
          <w:ilvl w:val="0"/>
          <w:numId w:val="2"/>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 xml:space="preserve">保单生效中且已过产品等待期，或保单已期满但未超过30天； </w:t>
      </w:r>
    </w:p>
    <w:p w14:paraId="61300813">
      <w:pPr>
        <w:pStyle w:val="12"/>
        <w:numPr>
          <w:ilvl w:val="0"/>
          <w:numId w:val="2"/>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保险金额 ≥ 15 万元 且 免赔额 ≤ 1万元；</w:t>
      </w:r>
    </w:p>
    <w:p w14:paraId="0AB2AA8E">
      <w:pPr>
        <w:pStyle w:val="12"/>
        <w:numPr>
          <w:ilvl w:val="0"/>
          <w:numId w:val="2"/>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保险责任包含但不限于一般住院医疗费用和恶性肿瘤或重大疾病住院医疗费用，并且医疗费用涵盖医保目录内及医保目录外；</w:t>
      </w:r>
    </w:p>
    <w:p w14:paraId="0345C169">
      <w:pPr>
        <w:pStyle w:val="12"/>
        <w:numPr>
          <w:ilvl w:val="0"/>
          <w:numId w:val="2"/>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医疗网络涵盖公立医院普通部或特需部；</w:t>
      </w:r>
    </w:p>
    <w:p w14:paraId="261998FC">
      <w:pPr>
        <w:pStyle w:val="12"/>
        <w:numPr>
          <w:ilvl w:val="0"/>
          <w:numId w:val="2"/>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产品需个人健康告知，并且被保险人符合健康告知，或虽不符合但经过智能核保/人工核保后保险人接受投保，且保单未解约、退保；</w:t>
      </w:r>
    </w:p>
    <w:p w14:paraId="4CC63445">
      <w:pPr>
        <w:pStyle w:val="12"/>
        <w:numPr>
          <w:ilvl w:val="0"/>
          <w:numId w:val="2"/>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非特定人群（如慢病、结节、肿瘤、特定疾病、孕产）医疗保险。</w:t>
      </w:r>
    </w:p>
    <w:p w14:paraId="2A7AF5C0">
      <w:pPr>
        <w:pStyle w:val="12"/>
        <w:numPr>
          <w:ilvl w:val="0"/>
          <w:numId w:val="1"/>
        </w:numPr>
        <w:adjustRightInd w:val="0"/>
        <w:snapToGrid w:val="0"/>
        <w:ind w:firstLineChars="0"/>
        <w:outlineLvl w:val="0"/>
        <w:rPr>
          <w:rFonts w:hint="eastAsia" w:ascii="微软雅黑" w:hAnsi="微软雅黑" w:eastAsia="微软雅黑"/>
          <w:b/>
          <w:bCs/>
          <w:szCs w:val="21"/>
        </w:rPr>
      </w:pPr>
      <w:r>
        <w:rPr>
          <w:rFonts w:hint="eastAsia" w:ascii="微软雅黑" w:hAnsi="微软雅黑" w:eastAsia="微软雅黑"/>
          <w:b/>
          <w:bCs/>
          <w:szCs w:val="21"/>
        </w:rPr>
        <w:t>完全符合转保条件（健康告知及转保规则）的被保险人，转保成功后本保单对应责任的等待期按下述约定：</w:t>
      </w:r>
    </w:p>
    <w:p w14:paraId="12E2F70F">
      <w:pPr>
        <w:pStyle w:val="12"/>
        <w:numPr>
          <w:ilvl w:val="0"/>
          <w:numId w:val="3"/>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b/>
          <w:bCs/>
          <w:szCs w:val="21"/>
          <w:u w:val="single"/>
        </w:rPr>
        <w:t>以下责任</w:t>
      </w:r>
      <w:r>
        <w:rPr>
          <w:rFonts w:hint="eastAsia" w:ascii="微软雅黑" w:hAnsi="微软雅黑" w:eastAsia="微软雅黑"/>
          <w:b/>
          <w:bCs/>
          <w:szCs w:val="21"/>
          <w:highlight w:val="yellow"/>
          <w:u w:val="single"/>
        </w:rPr>
        <w:t>免等待期</w:t>
      </w:r>
      <w:r>
        <w:rPr>
          <w:rFonts w:hint="eastAsia" w:ascii="微软雅黑" w:hAnsi="微软雅黑" w:eastAsia="微软雅黑"/>
          <w:b/>
          <w:bCs/>
          <w:szCs w:val="21"/>
          <w:u w:val="single"/>
        </w:rPr>
        <w:t>：</w:t>
      </w:r>
      <w:r>
        <w:rPr>
          <w:rFonts w:hint="eastAsia" w:ascii="微软雅黑" w:hAnsi="微软雅黑" w:eastAsia="微软雅黑"/>
          <w:szCs w:val="21"/>
        </w:rPr>
        <w:t>一般医疗及外购药械费用医疗保险金、一般门急诊医疗及外购药械费用医疗保险金、重大疾病医疗及外购药械费用医疗保险金、</w:t>
      </w:r>
      <w:r>
        <w:rPr>
          <w:rFonts w:hint="eastAsia" w:ascii="微软雅黑" w:hAnsi="微软雅黑" w:eastAsia="微软雅黑"/>
          <w:szCs w:val="21"/>
          <w:lang w:val="en-US" w:eastAsia="zh-CN"/>
        </w:rPr>
        <w:t>特定疾病康复住院费用医疗保险金、</w:t>
      </w:r>
      <w:r>
        <w:rPr>
          <w:rFonts w:hint="eastAsia" w:ascii="微软雅黑" w:hAnsi="微软雅黑" w:eastAsia="微软雅黑"/>
          <w:szCs w:val="21"/>
        </w:rPr>
        <w:t>特定药品费用医疗保险金、恶性肿瘤先进疗法医疗保险金、重大疾病异地转诊公共交通及住宿费用保险金、重大疾病住院护工费用保险金、家庭共享免赔额（如购买家庭共享免赔额加油包）免除30天等待期的限制；</w:t>
      </w:r>
    </w:p>
    <w:p w14:paraId="15A5B059">
      <w:pPr>
        <w:pStyle w:val="12"/>
        <w:numPr>
          <w:ilvl w:val="0"/>
          <w:numId w:val="3"/>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b/>
          <w:bCs/>
          <w:szCs w:val="21"/>
          <w:u w:val="single"/>
        </w:rPr>
        <w:t>以下责任</w:t>
      </w:r>
      <w:r>
        <w:rPr>
          <w:rFonts w:hint="eastAsia" w:ascii="微软雅黑" w:hAnsi="微软雅黑" w:eastAsia="微软雅黑"/>
          <w:b/>
          <w:bCs/>
          <w:szCs w:val="21"/>
          <w:highlight w:val="yellow"/>
          <w:u w:val="single"/>
        </w:rPr>
        <w:t>不免等待期</w:t>
      </w:r>
      <w:r>
        <w:rPr>
          <w:rFonts w:hint="eastAsia" w:ascii="微软雅黑" w:hAnsi="微软雅黑" w:eastAsia="微软雅黑"/>
          <w:b/>
          <w:bCs/>
          <w:szCs w:val="21"/>
          <w:u w:val="single"/>
        </w:rPr>
        <w:t>：</w:t>
      </w:r>
      <w:r>
        <w:rPr>
          <w:rFonts w:hint="eastAsia" w:ascii="微软雅黑" w:hAnsi="微软雅黑" w:eastAsia="微软雅黑"/>
          <w:szCs w:val="21"/>
        </w:rPr>
        <w:t>重大疾病责任（如购买的尊享重疾</w:t>
      </w:r>
      <w:bookmarkStart w:id="12" w:name="_GoBack"/>
      <w:bookmarkEnd w:id="12"/>
      <w:r>
        <w:rPr>
          <w:rFonts w:hint="eastAsia" w:ascii="微软雅黑" w:hAnsi="微软雅黑" w:eastAsia="微软雅黑"/>
          <w:szCs w:val="21"/>
        </w:rPr>
        <w:t>关爱加油包）、重大疾病扩展特需医疗责任（如购买尊享重大疾病扩展特需医疗加油包）、住院医疗费用补偿责任（如购买尊享住院医疗费用补偿加油包）、一般住院津贴责任及ICU重症监护病房住院津贴责任（如购买尊享住院津贴加油包）、门急诊医疗责任（如购买尊享门急诊医疗加油包）、互联网药品费用医疗责任（如购买尊享药省保加油包）。</w:t>
      </w:r>
    </w:p>
    <w:p w14:paraId="48649B27">
      <w:pPr>
        <w:pStyle w:val="12"/>
        <w:numPr>
          <w:ilvl w:val="0"/>
          <w:numId w:val="1"/>
        </w:numPr>
        <w:adjustRightInd w:val="0"/>
        <w:snapToGrid w:val="0"/>
        <w:ind w:firstLineChars="0"/>
        <w:outlineLvl w:val="0"/>
        <w:rPr>
          <w:rFonts w:hint="eastAsia" w:ascii="微软雅黑" w:hAnsi="微软雅黑" w:eastAsia="微软雅黑"/>
          <w:b/>
          <w:bCs/>
          <w:szCs w:val="21"/>
        </w:rPr>
      </w:pPr>
      <w:r>
        <w:rPr>
          <w:rFonts w:hint="eastAsia" w:ascii="微软雅黑" w:hAnsi="微软雅黑" w:eastAsia="微软雅黑"/>
          <w:b/>
          <w:bCs/>
          <w:szCs w:val="21"/>
        </w:rPr>
        <w:t>对于被保险人在其他保险公司首次投保个人商业医疗保险合同前已罹患的既往症，以及该合同项下明确约定除外的既往症，本保单不承担给付保险金的责任。若发生理赔需提供下述材料，</w:t>
      </w:r>
      <w:r>
        <w:rPr>
          <w:rFonts w:hint="eastAsia" w:ascii="微软雅黑" w:hAnsi="微软雅黑" w:eastAsia="微软雅黑"/>
          <w:b/>
          <w:bCs/>
          <w:szCs w:val="21"/>
          <w:highlight w:val="yellow"/>
        </w:rPr>
        <w:t>如果相关材料不符合转保要求，保险人将解除本保险合同且不承担赔偿或者给付保险金的责任</w:t>
      </w:r>
      <w:r>
        <w:rPr>
          <w:rFonts w:hint="eastAsia" w:ascii="微软雅黑" w:hAnsi="微软雅黑" w:eastAsia="微软雅黑"/>
          <w:b/>
          <w:bCs/>
          <w:szCs w:val="21"/>
        </w:rPr>
        <w:t>：</w:t>
      </w:r>
    </w:p>
    <w:p w14:paraId="1FF4CAFD">
      <w:pPr>
        <w:pStyle w:val="12"/>
        <w:numPr>
          <w:ilvl w:val="0"/>
          <w:numId w:val="4"/>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保单信息页(被保险人信息、保险起止日期)；</w:t>
      </w:r>
    </w:p>
    <w:p w14:paraId="0D1C20E2">
      <w:pPr>
        <w:pStyle w:val="12"/>
        <w:numPr>
          <w:ilvl w:val="0"/>
          <w:numId w:val="4"/>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保险计划页(保障责任、保险金额)；</w:t>
      </w:r>
    </w:p>
    <w:p w14:paraId="19746E4B">
      <w:pPr>
        <w:pStyle w:val="12"/>
        <w:numPr>
          <w:ilvl w:val="0"/>
          <w:numId w:val="4"/>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核保结论页(健康问卷、特约/标体承保结论)。</w:t>
      </w:r>
    </w:p>
    <w:p w14:paraId="35092F02">
      <w:pPr>
        <w:pStyle w:val="12"/>
        <w:numPr>
          <w:ilvl w:val="0"/>
          <w:numId w:val="1"/>
        </w:numPr>
        <w:adjustRightInd w:val="0"/>
        <w:snapToGrid w:val="0"/>
        <w:ind w:firstLineChars="0"/>
        <w:outlineLvl w:val="0"/>
        <w:rPr>
          <w:rFonts w:hint="eastAsia" w:ascii="微软雅黑" w:hAnsi="微软雅黑" w:eastAsia="微软雅黑"/>
          <w:b/>
          <w:bCs/>
          <w:szCs w:val="21"/>
        </w:rPr>
      </w:pPr>
      <w:r>
        <w:rPr>
          <w:rFonts w:hint="eastAsia" w:ascii="微软雅黑" w:hAnsi="微软雅黑" w:eastAsia="微软雅黑"/>
          <w:b/>
          <w:bCs/>
          <w:szCs w:val="21"/>
          <w:highlight w:val="yellow"/>
        </w:rPr>
        <w:t>若您不符合转保规则，请于新保页面投保，否则将影响合同效力和理赔权益。</w:t>
      </w:r>
    </w:p>
    <w:p w14:paraId="294FE5E9">
      <w:pPr>
        <w:pStyle w:val="12"/>
        <w:adjustRightInd w:val="0"/>
        <w:snapToGrid w:val="0"/>
        <w:ind w:firstLine="0" w:firstLineChars="0"/>
        <w:rPr>
          <w:rFonts w:hint="eastAsia" w:ascii="微软雅黑" w:hAnsi="微软雅黑" w:eastAsia="微软雅黑"/>
          <w:b/>
          <w:bCs/>
          <w:szCs w:val="21"/>
        </w:rPr>
      </w:pPr>
    </w:p>
    <w:p w14:paraId="64512291">
      <w:pPr>
        <w:pStyle w:val="12"/>
        <w:adjustRightInd w:val="0"/>
        <w:snapToGrid w:val="0"/>
        <w:ind w:firstLine="0" w:firstLineChars="0"/>
        <w:rPr>
          <w:rFonts w:hint="eastAsia" w:ascii="微软雅黑" w:hAnsi="微软雅黑" w:eastAsia="微软雅黑"/>
          <w:b/>
          <w:bCs/>
          <w:szCs w:val="21"/>
        </w:rPr>
      </w:pPr>
    </w:p>
    <w:p w14:paraId="24DCDCEE">
      <w:pPr>
        <w:pStyle w:val="12"/>
        <w:adjustRightInd w:val="0"/>
        <w:snapToGrid w:val="0"/>
        <w:ind w:firstLine="0" w:firstLineChars="0"/>
        <w:rPr>
          <w:rFonts w:hint="eastAsia" w:ascii="微软雅黑" w:hAnsi="微软雅黑" w:eastAsia="微软雅黑"/>
          <w:b/>
          <w:bCs/>
          <w:szCs w:val="21"/>
        </w:rPr>
      </w:pPr>
    </w:p>
    <w:p w14:paraId="5272D3A9">
      <w:pPr>
        <w:pStyle w:val="12"/>
        <w:adjustRightInd w:val="0"/>
        <w:snapToGrid w:val="0"/>
        <w:ind w:firstLine="0" w:firstLineChars="0"/>
        <w:rPr>
          <w:rFonts w:hint="eastAsia" w:ascii="微软雅黑" w:hAnsi="微软雅黑" w:eastAsia="微软雅黑"/>
          <w:b/>
          <w:bCs/>
          <w:szCs w:val="21"/>
        </w:rPr>
      </w:pPr>
    </w:p>
    <w:p w14:paraId="506186B2">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产品责任</w:t>
      </w:r>
    </w:p>
    <w:p w14:paraId="487948CF">
      <w:pPr>
        <w:pStyle w:val="12"/>
        <w:numPr>
          <w:ilvl w:val="0"/>
          <w:numId w:val="6"/>
        </w:numPr>
        <w:adjustRightInd w:val="0"/>
        <w:snapToGrid w:val="0"/>
        <w:spacing w:before="62" w:beforeLines="20"/>
        <w:ind w:firstLineChars="0"/>
        <w:outlineLvl w:val="1"/>
        <w:rPr>
          <w:rFonts w:hint="eastAsia" w:ascii="微软雅黑" w:hAnsi="微软雅黑" w:eastAsia="微软雅黑"/>
          <w:b/>
          <w:bCs/>
          <w:szCs w:val="21"/>
        </w:rPr>
      </w:pPr>
      <w:bookmarkStart w:id="0" w:name="_Hlk88049518"/>
      <w:r>
        <w:rPr>
          <w:rFonts w:hint="eastAsia" w:ascii="微软雅黑" w:hAnsi="微软雅黑" w:eastAsia="微软雅黑"/>
          <w:b/>
          <w:bCs/>
          <w:szCs w:val="21"/>
        </w:rPr>
        <w:t>尊享e生·百万医疗保险2026版必选计划：</w:t>
      </w:r>
    </w:p>
    <w:p w14:paraId="6FEB077C">
      <w:pPr>
        <w:pStyle w:val="12"/>
        <w:numPr>
          <w:ilvl w:val="0"/>
          <w:numId w:val="7"/>
        </w:numPr>
        <w:adjustRightInd w:val="0"/>
        <w:snapToGrid w:val="0"/>
        <w:spacing w:before="62" w:beforeLines="20"/>
        <w:ind w:firstLineChars="0"/>
        <w:outlineLvl w:val="0"/>
        <w:rPr>
          <w:rFonts w:hint="eastAsia" w:ascii="微软雅黑" w:hAnsi="微软雅黑" w:eastAsia="微软雅黑"/>
          <w:b/>
          <w:szCs w:val="21"/>
        </w:rPr>
      </w:pPr>
      <w:bookmarkStart w:id="1" w:name="_Hlk182507816"/>
      <w:r>
        <w:rPr>
          <w:rFonts w:hint="eastAsia" w:ascii="微软雅黑" w:hAnsi="微软雅黑" w:eastAsia="微软雅黑" w:cs="微软雅黑"/>
          <w:b/>
          <w:color w:val="000000"/>
          <w:szCs w:val="21"/>
        </w:rPr>
        <w:t>一般医疗及外购药械费用医疗</w:t>
      </w:r>
      <w:bookmarkEnd w:id="1"/>
      <w:r>
        <w:rPr>
          <w:rFonts w:hint="eastAsia" w:ascii="微软雅黑" w:hAnsi="微软雅黑" w:eastAsia="微软雅黑" w:cs="微软雅黑"/>
          <w:b/>
          <w:color w:val="000000"/>
          <w:szCs w:val="21"/>
        </w:rPr>
        <w:t>责任</w:t>
      </w:r>
    </w:p>
    <w:p w14:paraId="268B1B88">
      <w:pPr>
        <w:pStyle w:val="12"/>
        <w:numPr>
          <w:ilvl w:val="0"/>
          <w:numId w:val="8"/>
        </w:numPr>
        <w:adjustRightInd w:val="0"/>
        <w:snapToGrid w:val="0"/>
        <w:ind w:firstLineChars="0"/>
        <w:rPr>
          <w:rFonts w:hint="eastAsia" w:ascii="微软雅黑" w:hAnsi="微软雅黑" w:eastAsia="微软雅黑"/>
          <w:szCs w:val="21"/>
        </w:rPr>
      </w:pPr>
      <w:bookmarkStart w:id="2" w:name="_Hlk112854964"/>
      <w:r>
        <w:rPr>
          <w:rFonts w:hint="eastAsia" w:ascii="微软雅黑" w:hAnsi="微软雅黑" w:eastAsia="微软雅黑"/>
          <w:szCs w:val="21"/>
        </w:rPr>
        <w:t>在保险期间内，被保险人因遭受意外伤害事故或在等待期30天后因罹患疾病；</w:t>
      </w:r>
    </w:p>
    <w:bookmarkEnd w:id="2"/>
    <w:p w14:paraId="0D0F2014">
      <w:pPr>
        <w:pStyle w:val="12"/>
        <w:numPr>
          <w:ilvl w:val="0"/>
          <w:numId w:val="8"/>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在中华人民共和国卫生部门审核认定的二级及二级以上的公立医院及本保单约定的指定民营医疗机构普通部发生的，需个人支付的、必需且合理的一般医疗及外购药械费用医疗费用</w:t>
      </w:r>
      <w:r>
        <w:rPr>
          <w:rFonts w:hint="eastAsia" w:ascii="微软雅黑" w:hAnsi="微软雅黑" w:eastAsia="微软雅黑" w:cstheme="minorBidi"/>
          <w:b w:val="0"/>
          <w:bCs w:val="0"/>
          <w:sz w:val="21"/>
          <w:szCs w:val="21"/>
          <w:highlight w:val="none"/>
        </w:rPr>
        <w:t>（其中，外购药械费用扩展众安（海南）互联网医院）</w:t>
      </w:r>
      <w:r>
        <w:rPr>
          <w:rFonts w:hint="eastAsia" w:ascii="微软雅黑" w:hAnsi="微软雅黑" w:eastAsia="微软雅黑"/>
          <w:szCs w:val="21"/>
          <w:highlight w:val="none"/>
        </w:rPr>
        <w:t>；</w:t>
      </w:r>
    </w:p>
    <w:p w14:paraId="12303906">
      <w:pPr>
        <w:pStyle w:val="12"/>
        <w:numPr>
          <w:ilvl w:val="0"/>
          <w:numId w:val="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一般医疗及外购药械费用医疗费用包括：住院医疗费用、特殊门诊医疗费用、门诊手术医疗费用、住院前30天和出院后30天门急诊医疗费用和外购药械费用；</w:t>
      </w:r>
    </w:p>
    <w:p w14:paraId="5F084EA7">
      <w:pPr>
        <w:pStyle w:val="12"/>
        <w:numPr>
          <w:ilvl w:val="0"/>
          <w:numId w:val="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保险人在扣除1万元年免赔额后，按100%的赔付比例给付本项保险金，年累计给付以300万元为限；</w:t>
      </w:r>
    </w:p>
    <w:p w14:paraId="5CBE54B4">
      <w:pPr>
        <w:pStyle w:val="12"/>
        <w:numPr>
          <w:ilvl w:val="0"/>
          <w:numId w:val="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以有基本医疗保险或公费医疗身份参保，但未以基本医疗保险或公费医疗身份就诊并结算的，保险人在扣除1万元年免赔额后，按60%的赔付比例给付本项保险金；</w:t>
      </w:r>
    </w:p>
    <w:p w14:paraId="76C21DDA">
      <w:pPr>
        <w:pStyle w:val="12"/>
        <w:numPr>
          <w:ilvl w:val="0"/>
          <w:numId w:val="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本责任与一般门急诊医疗及外购药械费用医疗责任共享1万元的年免赔额，本责任与一般门急诊医疗及外购药械费用医疗责任共享3</w:t>
      </w:r>
      <w:r>
        <w:rPr>
          <w:rFonts w:ascii="微软雅黑" w:hAnsi="微软雅黑" w:eastAsia="微软雅黑"/>
          <w:szCs w:val="21"/>
        </w:rPr>
        <w:t>00</w:t>
      </w:r>
      <w:r>
        <w:rPr>
          <w:rFonts w:hint="eastAsia" w:ascii="微软雅黑" w:hAnsi="微软雅黑" w:eastAsia="微软雅黑"/>
          <w:szCs w:val="21"/>
        </w:rPr>
        <w:t>万元保险金额；</w:t>
      </w:r>
    </w:p>
    <w:p w14:paraId="7155C44E">
      <w:pPr>
        <w:pStyle w:val="12"/>
        <w:numPr>
          <w:ilvl w:val="0"/>
          <w:numId w:val="8"/>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特别提示：给付外购药品及外购医疗器械费用必须且同时满足特定条件，详见本产品合同《众安在线财产保险股份有限公司</w:t>
      </w:r>
      <w:r>
        <w:rPr>
          <w:rFonts w:hint="eastAsia" w:ascii="微软雅黑" w:hAnsi="微软雅黑" w:eastAsia="微软雅黑"/>
          <w:b/>
          <w:bCs/>
          <w:szCs w:val="21"/>
          <w:lang w:eastAsia="zh-CN"/>
        </w:rPr>
        <w:t>个人医疗保险条款（互联网2025版）</w:t>
      </w:r>
      <w:r>
        <w:rPr>
          <w:rFonts w:hint="eastAsia" w:ascii="微软雅黑" w:hAnsi="微软雅黑" w:eastAsia="微软雅黑"/>
          <w:b/>
          <w:bCs/>
          <w:szCs w:val="21"/>
        </w:rPr>
        <w:t>》</w:t>
      </w:r>
      <w:r>
        <w:rPr>
          <w:rFonts w:hint="eastAsia" w:ascii="微软雅黑" w:hAnsi="微软雅黑" w:eastAsia="微软雅黑" w:cs="微软雅黑"/>
          <w:b/>
          <w:color w:val="000000"/>
          <w:szCs w:val="21"/>
          <w:lang w:val="zh-CN"/>
        </w:rPr>
        <w:t>（注册号：</w:t>
      </w:r>
      <w:r>
        <w:rPr>
          <w:rFonts w:hint="eastAsia" w:ascii="微软雅黑" w:hAnsi="微软雅黑" w:eastAsia="微软雅黑" w:cs="微软雅黑"/>
          <w:b/>
          <w:color w:val="000000"/>
          <w:szCs w:val="21"/>
          <w:lang w:val="en-US" w:eastAsia="zh-CN"/>
        </w:rPr>
        <w:t>C00017932512025120573893</w:t>
      </w:r>
      <w:r>
        <w:rPr>
          <w:rFonts w:hint="eastAsia" w:ascii="微软雅黑" w:hAnsi="微软雅黑" w:eastAsia="微软雅黑" w:cs="微软雅黑"/>
          <w:b/>
          <w:color w:val="000000"/>
          <w:szCs w:val="21"/>
          <w:lang w:val="zh-CN"/>
        </w:rPr>
        <w:t>）中“释义二十七、外购药品及外购医疗器械费用”。</w:t>
      </w:r>
    </w:p>
    <w:p w14:paraId="70D336CD">
      <w:pPr>
        <w:pStyle w:val="12"/>
        <w:numPr>
          <w:ilvl w:val="0"/>
          <w:numId w:val="7"/>
        </w:numPr>
        <w:adjustRightInd w:val="0"/>
        <w:snapToGrid w:val="0"/>
        <w:spacing w:before="62" w:beforeLines="20"/>
        <w:ind w:firstLineChars="0"/>
        <w:outlineLvl w:val="0"/>
        <w:rPr>
          <w:rFonts w:hint="eastAsia" w:ascii="微软雅黑" w:hAnsi="微软雅黑" w:eastAsia="微软雅黑"/>
          <w:b/>
          <w:bCs/>
          <w:szCs w:val="21"/>
        </w:rPr>
      </w:pPr>
      <w:bookmarkStart w:id="3" w:name="_Hlk182507823"/>
      <w:r>
        <w:rPr>
          <w:rFonts w:hint="eastAsia" w:ascii="微软雅黑" w:hAnsi="微软雅黑" w:eastAsia="微软雅黑"/>
          <w:b/>
          <w:bCs/>
          <w:szCs w:val="21"/>
        </w:rPr>
        <w:t>一般门急诊医疗及外购药械费用医疗</w:t>
      </w:r>
      <w:bookmarkEnd w:id="3"/>
      <w:r>
        <w:rPr>
          <w:rFonts w:hint="eastAsia" w:ascii="微软雅黑" w:hAnsi="微软雅黑" w:eastAsia="微软雅黑"/>
          <w:b/>
          <w:bCs/>
          <w:szCs w:val="21"/>
        </w:rPr>
        <w:t>责任</w:t>
      </w:r>
    </w:p>
    <w:p w14:paraId="71EA38ED">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在保险期间内，被保险人因遭受意外伤害事故或在等待期30天后因罹患疾病；</w:t>
      </w:r>
    </w:p>
    <w:p w14:paraId="51B6DCEE">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中华人民共和国卫生部门审核认定的二级及二级以上的公立医院及本保单约定的指定民营医疗机构普通部接受门诊或急诊治疗期间发生的，需个人支付的、必需且合理的一般门急诊医疗费用（但不包括一般医疗及外购药械费用医疗保险金中的特殊门诊医疗费用、门诊手术医疗费用和住院前后门急诊医疗费用）和外购药品及外购医疗器械费</w:t>
      </w:r>
      <w:r>
        <w:rPr>
          <w:rFonts w:hint="eastAsia" w:ascii="微软雅黑" w:hAnsi="微软雅黑" w:eastAsia="微软雅黑"/>
          <w:szCs w:val="21"/>
          <w:highlight w:val="none"/>
        </w:rPr>
        <w:t>用</w:t>
      </w:r>
      <w:r>
        <w:rPr>
          <w:rFonts w:hint="eastAsia" w:ascii="微软雅黑" w:hAnsi="微软雅黑" w:eastAsia="微软雅黑" w:cstheme="minorBidi"/>
          <w:b w:val="0"/>
          <w:bCs w:val="0"/>
          <w:sz w:val="21"/>
          <w:szCs w:val="21"/>
          <w:highlight w:val="none"/>
        </w:rPr>
        <w:t>（其中，外购药械费用扩展众安（海南）互联网医院）</w:t>
      </w:r>
      <w:r>
        <w:rPr>
          <w:rFonts w:hint="eastAsia" w:ascii="微软雅黑" w:hAnsi="微软雅黑" w:eastAsia="微软雅黑"/>
          <w:szCs w:val="21"/>
          <w:highlight w:val="none"/>
        </w:rPr>
        <w:t>；</w:t>
      </w:r>
    </w:p>
    <w:p w14:paraId="6F466821">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门诊或急诊医疗费用包括诊疗费、急诊室费、检查检验费、治疗费、药品费、救护车使用费；</w:t>
      </w:r>
    </w:p>
    <w:p w14:paraId="7B15B9BD">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保险人在扣除1万元年免赔额后，按100%的赔付比例给付本项保险金，年累计给付以300万元为限；</w:t>
      </w:r>
    </w:p>
    <w:p w14:paraId="0B837C54">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以有基本医疗保险或公费医疗身份参保，但未以基本医疗保险或公费医疗身份就诊并结算的，保险人在扣除1万元年免赔额后，按60%的赔付比例给付本项保险金；</w:t>
      </w:r>
    </w:p>
    <w:p w14:paraId="53F28F1A">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本责任与一般医疗及外购药械费用医疗责任共享1万元的年免赔额，本责任与一般医疗及外购药械费用医疗责任共享3</w:t>
      </w:r>
      <w:r>
        <w:rPr>
          <w:rFonts w:ascii="微软雅黑" w:hAnsi="微软雅黑" w:eastAsia="微软雅黑"/>
          <w:szCs w:val="21"/>
        </w:rPr>
        <w:t>00</w:t>
      </w:r>
      <w:r>
        <w:rPr>
          <w:rFonts w:hint="eastAsia" w:ascii="微软雅黑" w:hAnsi="微软雅黑" w:eastAsia="微软雅黑"/>
          <w:szCs w:val="21"/>
        </w:rPr>
        <w:t>万元保险金额；</w:t>
      </w:r>
    </w:p>
    <w:p w14:paraId="2D70CBDC">
      <w:pPr>
        <w:pStyle w:val="12"/>
        <w:numPr>
          <w:ilvl w:val="0"/>
          <w:numId w:val="9"/>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特别提示：给付外购药品及外购医疗器械费用必须且同时满足特定条件，详见本产品合同《众安在线财产保险股份有限公司</w:t>
      </w:r>
      <w:r>
        <w:rPr>
          <w:rFonts w:hint="eastAsia" w:ascii="微软雅黑" w:hAnsi="微软雅黑" w:eastAsia="微软雅黑"/>
          <w:b/>
          <w:bCs/>
          <w:szCs w:val="21"/>
          <w:lang w:eastAsia="zh-CN"/>
        </w:rPr>
        <w:t>个人医疗保险条款（互联网2025版）</w:t>
      </w:r>
      <w:r>
        <w:rPr>
          <w:rFonts w:hint="eastAsia" w:ascii="微软雅黑" w:hAnsi="微软雅黑" w:eastAsia="微软雅黑"/>
          <w:b/>
          <w:bCs/>
          <w:szCs w:val="21"/>
        </w:rPr>
        <w:t>》</w:t>
      </w:r>
      <w:r>
        <w:rPr>
          <w:rFonts w:hint="eastAsia" w:ascii="微软雅黑" w:hAnsi="微软雅黑" w:eastAsia="微软雅黑" w:cs="微软雅黑"/>
          <w:b/>
          <w:color w:val="000000"/>
          <w:szCs w:val="21"/>
          <w:lang w:val="zh-CN"/>
        </w:rPr>
        <w:t>（注册号：</w:t>
      </w:r>
      <w:r>
        <w:rPr>
          <w:rFonts w:hint="eastAsia" w:ascii="微软雅黑" w:hAnsi="微软雅黑" w:eastAsia="微软雅黑" w:cs="微软雅黑"/>
          <w:b/>
          <w:color w:val="000000"/>
          <w:szCs w:val="21"/>
          <w:lang w:val="en-US" w:eastAsia="zh-CN"/>
        </w:rPr>
        <w:t>C00017932512025120573893</w:t>
      </w:r>
      <w:r>
        <w:rPr>
          <w:rFonts w:hint="eastAsia" w:ascii="微软雅黑" w:hAnsi="微软雅黑" w:eastAsia="微软雅黑" w:cs="微软雅黑"/>
          <w:b/>
          <w:color w:val="000000"/>
          <w:szCs w:val="21"/>
          <w:lang w:val="zh-CN"/>
        </w:rPr>
        <w:t>）中“释义二十七、外购药品及外购医疗器械费用”。</w:t>
      </w:r>
    </w:p>
    <w:bookmarkEnd w:id="0"/>
    <w:p w14:paraId="1B0AE681">
      <w:pPr>
        <w:pStyle w:val="12"/>
        <w:numPr>
          <w:ilvl w:val="0"/>
          <w:numId w:val="7"/>
        </w:numPr>
        <w:adjustRightInd w:val="0"/>
        <w:snapToGrid w:val="0"/>
        <w:spacing w:before="62" w:beforeLines="20"/>
        <w:ind w:firstLineChars="0"/>
        <w:outlineLvl w:val="0"/>
        <w:rPr>
          <w:rFonts w:hint="eastAsia" w:ascii="微软雅黑" w:hAnsi="微软雅黑" w:eastAsia="微软雅黑"/>
          <w:b/>
          <w:bCs/>
          <w:szCs w:val="21"/>
        </w:rPr>
      </w:pPr>
      <w:bookmarkStart w:id="4" w:name="_Hlk182507833"/>
      <w:r>
        <w:rPr>
          <w:rFonts w:hint="eastAsia" w:ascii="微软雅黑" w:hAnsi="微软雅黑" w:eastAsia="微软雅黑"/>
          <w:b/>
          <w:bCs/>
          <w:szCs w:val="21"/>
        </w:rPr>
        <w:t>重大疾病医疗及外购药械费用医疗</w:t>
      </w:r>
      <w:bookmarkEnd w:id="4"/>
      <w:r>
        <w:rPr>
          <w:rFonts w:hint="eastAsia" w:ascii="微软雅黑" w:hAnsi="微软雅黑" w:eastAsia="微软雅黑"/>
          <w:b/>
          <w:bCs/>
          <w:szCs w:val="21"/>
        </w:rPr>
        <w:t>责任</w:t>
      </w:r>
    </w:p>
    <w:p w14:paraId="19CA87F3">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在保险期间内，被保险人因遭受意外伤害事故导致罹患或在等待期30天后初次确诊罹患本合同约定的100种重大疾病；</w:t>
      </w:r>
    </w:p>
    <w:p w14:paraId="09CE3F89">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在中华人民共和国卫生部门审核认定的二级及二级以上的公立医院及本保单约定的指定民营医疗机构普通部发生的，需个人支付的、必需且合理的重大疾病医疗及外购药械费用医疗费</w:t>
      </w:r>
      <w:r>
        <w:rPr>
          <w:rFonts w:hint="eastAsia" w:ascii="微软雅黑" w:hAnsi="微软雅黑" w:eastAsia="微软雅黑"/>
          <w:szCs w:val="21"/>
          <w:highlight w:val="none"/>
        </w:rPr>
        <w:t>用</w:t>
      </w:r>
      <w:r>
        <w:rPr>
          <w:rFonts w:hint="eastAsia" w:ascii="微软雅黑" w:hAnsi="微软雅黑" w:eastAsia="微软雅黑" w:cstheme="minorBidi"/>
          <w:b w:val="0"/>
          <w:bCs w:val="0"/>
          <w:sz w:val="21"/>
          <w:szCs w:val="21"/>
          <w:highlight w:val="none"/>
        </w:rPr>
        <w:t>（其中，外购药械费用扩展众安（海南）互联网医院）</w:t>
      </w:r>
      <w:r>
        <w:rPr>
          <w:rFonts w:hint="eastAsia" w:ascii="微软雅黑" w:hAnsi="微软雅黑" w:eastAsia="微软雅黑"/>
          <w:szCs w:val="21"/>
          <w:highlight w:val="none"/>
        </w:rPr>
        <w:t>；</w:t>
      </w:r>
    </w:p>
    <w:p w14:paraId="5D65C82B">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重大疾病医疗及外购药械费用医疗费用包括：住院医疗费用、特殊门诊医疗费用、门诊手术医疗费用、住院前30天和出院后30天门急诊医疗费用、重大疾病门急诊医疗费用和外购药品及外购医疗器械费用；</w:t>
      </w:r>
    </w:p>
    <w:p w14:paraId="24BD0D03">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保险人按100%的赔付比例给付本项保险金，年累计给付以</w:t>
      </w:r>
      <w:r>
        <w:rPr>
          <w:rFonts w:ascii="微软雅黑" w:hAnsi="微软雅黑" w:eastAsia="微软雅黑"/>
          <w:szCs w:val="21"/>
        </w:rPr>
        <w:t>3</w:t>
      </w:r>
      <w:r>
        <w:rPr>
          <w:rFonts w:hint="eastAsia" w:ascii="微软雅黑" w:hAnsi="微软雅黑" w:eastAsia="微软雅黑"/>
          <w:szCs w:val="21"/>
        </w:rPr>
        <w:t>00万元为限；</w:t>
      </w:r>
    </w:p>
    <w:p w14:paraId="03A8FB71">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以有基本医疗保险或公费医疗身份参保，但未以基本医疗保险或公费医疗身份就诊并结算的，则赔付比例调整为60%；</w:t>
      </w:r>
    </w:p>
    <w:p w14:paraId="1BE2E6F9">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cs="微软雅黑"/>
          <w:b/>
          <w:bCs/>
          <w:szCs w:val="21"/>
        </w:rPr>
        <w:t>特别提示：</w:t>
      </w:r>
      <w:r>
        <w:rPr>
          <w:rFonts w:hint="eastAsia" w:ascii="微软雅黑" w:hAnsi="微软雅黑" w:eastAsia="微软雅黑" w:cs="微软雅黑"/>
          <w:szCs w:val="21"/>
        </w:rPr>
        <w:t>本责任无免赔额。</w:t>
      </w:r>
    </w:p>
    <w:p w14:paraId="21CE3432">
      <w:pPr>
        <w:pStyle w:val="12"/>
        <w:numPr>
          <w:ilvl w:val="0"/>
          <w:numId w:val="10"/>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特别提示：给付外购药品及外购医疗器械费用必须且同时满足特定条件，详见本产品合同《众安在线财产保险股份有限公司</w:t>
      </w:r>
      <w:r>
        <w:rPr>
          <w:rFonts w:hint="eastAsia" w:ascii="微软雅黑" w:hAnsi="微软雅黑" w:eastAsia="微软雅黑"/>
          <w:b/>
          <w:bCs/>
          <w:szCs w:val="21"/>
          <w:lang w:eastAsia="zh-CN"/>
        </w:rPr>
        <w:t>个人医疗保险条款（互联网2025版）</w:t>
      </w:r>
      <w:r>
        <w:rPr>
          <w:rFonts w:hint="eastAsia" w:ascii="微软雅黑" w:hAnsi="微软雅黑" w:eastAsia="微软雅黑"/>
          <w:b/>
          <w:bCs/>
          <w:szCs w:val="21"/>
        </w:rPr>
        <w:t>》</w:t>
      </w:r>
      <w:r>
        <w:rPr>
          <w:rFonts w:hint="eastAsia" w:ascii="微软雅黑" w:hAnsi="微软雅黑" w:eastAsia="微软雅黑" w:cs="微软雅黑"/>
          <w:b/>
          <w:color w:val="000000"/>
          <w:szCs w:val="21"/>
          <w:lang w:val="zh-CN"/>
        </w:rPr>
        <w:t>（注册号：</w:t>
      </w:r>
      <w:r>
        <w:rPr>
          <w:rFonts w:hint="eastAsia" w:ascii="微软雅黑" w:hAnsi="微软雅黑" w:eastAsia="微软雅黑" w:cs="微软雅黑"/>
          <w:b/>
          <w:color w:val="000000"/>
          <w:szCs w:val="21"/>
          <w:lang w:val="en-US" w:eastAsia="zh-CN"/>
        </w:rPr>
        <w:t>C00017932512025120573893</w:t>
      </w:r>
      <w:r>
        <w:rPr>
          <w:rFonts w:hint="eastAsia" w:ascii="微软雅黑" w:hAnsi="微软雅黑" w:eastAsia="微软雅黑" w:cs="微软雅黑"/>
          <w:b/>
          <w:color w:val="000000"/>
          <w:szCs w:val="21"/>
          <w:lang w:val="zh-CN"/>
        </w:rPr>
        <w:t>）中“释义二十七、外购药品及外购医疗器械费用”。</w:t>
      </w:r>
    </w:p>
    <w:p w14:paraId="3F6956D3">
      <w:pPr>
        <w:pStyle w:val="12"/>
        <w:numPr>
          <w:ilvl w:val="0"/>
          <w:numId w:val="7"/>
        </w:numPr>
        <w:adjustRightInd w:val="0"/>
        <w:snapToGrid w:val="0"/>
        <w:spacing w:before="62" w:beforeLines="20"/>
        <w:ind w:firstLineChars="0"/>
        <w:outlineLvl w:val="0"/>
        <w:rPr>
          <w:rFonts w:hint="eastAsia" w:ascii="微软雅黑" w:hAnsi="微软雅黑" w:eastAsia="微软雅黑"/>
          <w:b/>
          <w:bCs/>
          <w:szCs w:val="21"/>
          <w:highlight w:val="none"/>
        </w:rPr>
      </w:pPr>
      <w:r>
        <w:rPr>
          <w:rFonts w:hint="eastAsia" w:ascii="微软雅黑" w:hAnsi="微软雅黑" w:eastAsia="微软雅黑"/>
          <w:b/>
          <w:bCs/>
          <w:szCs w:val="21"/>
          <w:highlight w:val="none"/>
          <w:lang w:val="en-US" w:eastAsia="zh-CN"/>
        </w:rPr>
        <w:t>特定疾病康复住院费用医疗责任</w:t>
      </w:r>
    </w:p>
    <w:p w14:paraId="520F4AFF">
      <w:pPr>
        <w:pStyle w:val="12"/>
        <w:numPr>
          <w:ilvl w:val="0"/>
          <w:numId w:val="11"/>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在保险期间内，被保险人因遭受意外伤害事故导致罹患或在等待期30天后初次确诊罹患本合同约定的</w:t>
      </w:r>
      <w:r>
        <w:rPr>
          <w:rFonts w:hint="eastAsia" w:ascii="微软雅黑" w:hAnsi="微软雅黑" w:eastAsia="微软雅黑"/>
          <w:szCs w:val="21"/>
          <w:highlight w:val="none"/>
          <w:lang w:val="en-US" w:eastAsia="zh-CN"/>
        </w:rPr>
        <w:t>16</w:t>
      </w:r>
      <w:r>
        <w:rPr>
          <w:rFonts w:hint="eastAsia" w:ascii="微软雅黑" w:hAnsi="微软雅黑" w:eastAsia="微软雅黑"/>
          <w:szCs w:val="21"/>
          <w:highlight w:val="none"/>
        </w:rPr>
        <w:t>种</w:t>
      </w:r>
      <w:r>
        <w:rPr>
          <w:rFonts w:hint="eastAsia" w:ascii="微软雅黑" w:hAnsi="微软雅黑" w:eastAsia="微软雅黑"/>
          <w:szCs w:val="21"/>
          <w:highlight w:val="none"/>
          <w:lang w:val="en-US" w:eastAsia="zh-CN"/>
        </w:rPr>
        <w:t>特定</w:t>
      </w:r>
      <w:r>
        <w:rPr>
          <w:rFonts w:hint="eastAsia" w:ascii="微软雅黑" w:hAnsi="微软雅黑" w:eastAsia="微软雅黑"/>
          <w:szCs w:val="21"/>
          <w:highlight w:val="none"/>
        </w:rPr>
        <w:t>疾病；</w:t>
      </w:r>
    </w:p>
    <w:p w14:paraId="5F7FBC85">
      <w:pPr>
        <w:pStyle w:val="12"/>
        <w:numPr>
          <w:ilvl w:val="0"/>
          <w:numId w:val="11"/>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因该特定疾病初次确诊之日起的180日内（含第180日）在中华人民共和国卫生部门审核认定的二级及二级以上的公立医院</w:t>
      </w:r>
      <w:r>
        <w:rPr>
          <w:rFonts w:hint="eastAsia" w:ascii="微软雅黑" w:hAnsi="微软雅黑" w:eastAsia="微软雅黑"/>
          <w:szCs w:val="21"/>
          <w:highlight w:val="none"/>
          <w:lang w:val="en-US" w:eastAsia="zh-CN"/>
        </w:rPr>
        <w:t>普通部、</w:t>
      </w:r>
      <w:r>
        <w:rPr>
          <w:rFonts w:hint="eastAsia" w:ascii="微软雅黑" w:hAnsi="微软雅黑" w:eastAsia="微软雅黑"/>
          <w:szCs w:val="21"/>
          <w:highlight w:val="none"/>
        </w:rPr>
        <w:t>本保单约定的指定民营医疗机构普通部</w:t>
      </w:r>
      <w:r>
        <w:rPr>
          <w:rFonts w:hint="eastAsia" w:ascii="微软雅黑" w:hAnsi="微软雅黑" w:eastAsia="微软雅黑"/>
          <w:szCs w:val="21"/>
          <w:highlight w:val="none"/>
          <w:lang w:val="en-US" w:eastAsia="zh-CN"/>
        </w:rPr>
        <w:t>及</w:t>
      </w:r>
      <w:r>
        <w:rPr>
          <w:rFonts w:hint="eastAsia" w:ascii="微软雅黑" w:hAnsi="微软雅黑" w:eastAsia="微软雅黑"/>
          <w:szCs w:val="21"/>
          <w:highlight w:val="none"/>
        </w:rPr>
        <w:t>指定</w:t>
      </w:r>
      <w:r>
        <w:rPr>
          <w:rFonts w:hint="eastAsia" w:ascii="微软雅黑" w:hAnsi="微软雅黑" w:eastAsia="微软雅黑"/>
          <w:szCs w:val="21"/>
          <w:highlight w:val="none"/>
          <w:lang w:val="en-US" w:eastAsia="zh-CN"/>
        </w:rPr>
        <w:t>康复</w:t>
      </w:r>
      <w:r>
        <w:rPr>
          <w:rFonts w:hint="eastAsia" w:ascii="微软雅黑" w:hAnsi="微软雅黑" w:eastAsia="微软雅黑"/>
          <w:szCs w:val="21"/>
          <w:highlight w:val="none"/>
        </w:rPr>
        <w:t>医疗机构普通部</w:t>
      </w:r>
      <w:r>
        <w:rPr>
          <w:rFonts w:hint="eastAsia" w:ascii="微软雅黑" w:hAnsi="微软雅黑" w:eastAsia="微软雅黑"/>
          <w:szCs w:val="21"/>
          <w:highlight w:val="none"/>
          <w:lang w:val="en-US" w:eastAsia="zh-CN"/>
        </w:rPr>
        <w:t>住院</w:t>
      </w:r>
      <w:r>
        <w:rPr>
          <w:rFonts w:hint="eastAsia" w:ascii="微软雅黑" w:hAnsi="微软雅黑" w:eastAsia="微软雅黑"/>
          <w:szCs w:val="21"/>
          <w:highlight w:val="none"/>
        </w:rPr>
        <w:t>发生的，以治疗该特定疾病为目的、必需且合理的康复住院治疗费用；</w:t>
      </w:r>
    </w:p>
    <w:p w14:paraId="33E3A988">
      <w:pPr>
        <w:pStyle w:val="12"/>
        <w:numPr>
          <w:ilvl w:val="0"/>
          <w:numId w:val="11"/>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康复住院治疗费包括：接受住院治疗，由专科医生进行的康复功能评估、确定康复目标、制定康复计划、实施治疗方案以实现最大程度的功能恢复和重建治疗而发生的医疗费用。包括床位费、加床费、膳食费、护理费、重症监护室床位费、诊疗费、检查检验费、治疗费、物理治疗、中医理疗、药品和医疗器械使用费、手术费、康复住院转运救护车使用费；</w:t>
      </w:r>
    </w:p>
    <w:p w14:paraId="2B537D88">
      <w:pPr>
        <w:pStyle w:val="12"/>
        <w:numPr>
          <w:ilvl w:val="0"/>
          <w:numId w:val="11"/>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lang w:val="en-US" w:eastAsia="zh-CN"/>
        </w:rPr>
        <w:t>针对本保单约定的指定康复医疗机构普通部，</w:t>
      </w:r>
      <w:r>
        <w:rPr>
          <w:rFonts w:hint="eastAsia" w:ascii="微软雅黑" w:hAnsi="微软雅黑" w:eastAsia="微软雅黑"/>
          <w:szCs w:val="21"/>
          <w:highlight w:val="none"/>
        </w:rPr>
        <w:t>保险人按</w:t>
      </w:r>
      <w:r>
        <w:rPr>
          <w:rFonts w:hint="eastAsia" w:ascii="微软雅黑" w:hAnsi="微软雅黑" w:eastAsia="微软雅黑"/>
          <w:szCs w:val="21"/>
          <w:highlight w:val="none"/>
          <w:lang w:val="en-US" w:eastAsia="zh-CN"/>
        </w:rPr>
        <w:t>8</w:t>
      </w:r>
      <w:r>
        <w:rPr>
          <w:rFonts w:hint="eastAsia" w:ascii="微软雅黑" w:hAnsi="微软雅黑" w:eastAsia="微软雅黑"/>
          <w:szCs w:val="21"/>
          <w:highlight w:val="none"/>
        </w:rPr>
        <w:t>0%的赔付比例给付本项保险金</w:t>
      </w:r>
      <w:r>
        <w:rPr>
          <w:rFonts w:hint="eastAsia" w:ascii="微软雅黑" w:hAnsi="微软雅黑" w:eastAsia="微软雅黑"/>
          <w:szCs w:val="21"/>
          <w:highlight w:val="none"/>
          <w:lang w:eastAsia="zh-CN"/>
        </w:rPr>
        <w:t>；</w:t>
      </w:r>
      <w:r>
        <w:rPr>
          <w:rFonts w:hint="eastAsia" w:ascii="微软雅黑" w:hAnsi="微软雅黑" w:eastAsia="微软雅黑"/>
          <w:szCs w:val="21"/>
          <w:highlight w:val="none"/>
          <w:lang w:val="en-US" w:eastAsia="zh-CN"/>
        </w:rPr>
        <w:t>针对</w:t>
      </w:r>
      <w:r>
        <w:rPr>
          <w:rFonts w:hint="eastAsia" w:ascii="微软雅黑" w:hAnsi="微软雅黑" w:eastAsia="微软雅黑"/>
          <w:szCs w:val="21"/>
          <w:highlight w:val="none"/>
        </w:rPr>
        <w:t>中华人民共和国卫生部门审核认定的二级及二级以上的公立医院</w:t>
      </w:r>
      <w:r>
        <w:rPr>
          <w:rFonts w:hint="eastAsia" w:ascii="微软雅黑" w:hAnsi="微软雅黑" w:eastAsia="微软雅黑"/>
          <w:szCs w:val="21"/>
          <w:highlight w:val="none"/>
          <w:lang w:val="en-US" w:eastAsia="zh-CN"/>
        </w:rPr>
        <w:t>普通部及本保单约定的指定民营医疗机构普通部，保险人按60%的赔付比例给付本项保险金；</w:t>
      </w:r>
      <w:r>
        <w:rPr>
          <w:rFonts w:hint="eastAsia" w:ascii="微软雅黑" w:hAnsi="微软雅黑" w:eastAsia="微软雅黑"/>
          <w:szCs w:val="21"/>
          <w:highlight w:val="none"/>
        </w:rPr>
        <w:t>年累计给付以</w:t>
      </w:r>
      <w:r>
        <w:rPr>
          <w:rFonts w:hint="eastAsia" w:ascii="微软雅黑" w:hAnsi="微软雅黑" w:eastAsia="微软雅黑"/>
          <w:szCs w:val="21"/>
          <w:highlight w:val="none"/>
          <w:lang w:val="en-US" w:eastAsia="zh-CN"/>
        </w:rPr>
        <w:t>1</w:t>
      </w:r>
      <w:r>
        <w:rPr>
          <w:rFonts w:hint="eastAsia" w:ascii="微软雅黑" w:hAnsi="微软雅黑" w:eastAsia="微软雅黑"/>
          <w:szCs w:val="21"/>
          <w:highlight w:val="none"/>
        </w:rPr>
        <w:t>00万元为限；</w:t>
      </w:r>
    </w:p>
    <w:p w14:paraId="47FD4E2C">
      <w:pPr>
        <w:pStyle w:val="12"/>
        <w:numPr>
          <w:ilvl w:val="0"/>
          <w:numId w:val="11"/>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以有基本医疗保险或公费医疗身份参保，但未以基本医疗保险或公费医疗身份就诊并结算的，则</w:t>
      </w:r>
      <w:r>
        <w:rPr>
          <w:rFonts w:hint="eastAsia" w:ascii="微软雅黑" w:hAnsi="微软雅黑" w:eastAsia="微软雅黑"/>
          <w:szCs w:val="21"/>
          <w:highlight w:val="none"/>
          <w:lang w:val="en-US" w:eastAsia="zh-CN"/>
        </w:rPr>
        <w:t>指定康复医疗机构普通部的</w:t>
      </w:r>
      <w:r>
        <w:rPr>
          <w:rFonts w:hint="eastAsia" w:ascii="微软雅黑" w:hAnsi="微软雅黑" w:eastAsia="微软雅黑"/>
          <w:szCs w:val="21"/>
          <w:highlight w:val="none"/>
        </w:rPr>
        <w:t>赔付比例调整为</w:t>
      </w:r>
      <w:r>
        <w:rPr>
          <w:rFonts w:hint="eastAsia" w:ascii="微软雅黑" w:hAnsi="微软雅黑" w:eastAsia="微软雅黑"/>
          <w:szCs w:val="21"/>
          <w:highlight w:val="none"/>
          <w:lang w:val="en-US" w:eastAsia="zh-CN"/>
        </w:rPr>
        <w:t>48%，</w:t>
      </w:r>
      <w:r>
        <w:rPr>
          <w:rFonts w:hint="eastAsia" w:ascii="微软雅黑" w:hAnsi="微软雅黑" w:eastAsia="微软雅黑"/>
          <w:szCs w:val="21"/>
          <w:highlight w:val="none"/>
        </w:rPr>
        <w:t>中华人民共和国卫生部门审核认定的二级及二级以上的公立医院</w:t>
      </w:r>
      <w:r>
        <w:rPr>
          <w:rFonts w:hint="eastAsia" w:ascii="微软雅黑" w:hAnsi="微软雅黑" w:eastAsia="微软雅黑"/>
          <w:szCs w:val="21"/>
          <w:highlight w:val="none"/>
          <w:lang w:val="en-US" w:eastAsia="zh-CN"/>
        </w:rPr>
        <w:t>普通部及指定民营医疗机构普通部的</w:t>
      </w:r>
      <w:r>
        <w:rPr>
          <w:rFonts w:hint="eastAsia" w:ascii="微软雅黑" w:hAnsi="微软雅黑" w:eastAsia="微软雅黑"/>
          <w:szCs w:val="21"/>
          <w:highlight w:val="none"/>
        </w:rPr>
        <w:t>赔付比例调整为</w:t>
      </w:r>
      <w:r>
        <w:rPr>
          <w:rFonts w:hint="eastAsia" w:ascii="微软雅黑" w:hAnsi="微软雅黑" w:eastAsia="微软雅黑"/>
          <w:szCs w:val="21"/>
          <w:highlight w:val="none"/>
          <w:lang w:val="en-US" w:eastAsia="zh-CN"/>
        </w:rPr>
        <w:t>36%</w:t>
      </w:r>
      <w:r>
        <w:rPr>
          <w:rFonts w:hint="eastAsia" w:ascii="微软雅黑" w:hAnsi="微软雅黑" w:eastAsia="微软雅黑"/>
          <w:szCs w:val="21"/>
          <w:highlight w:val="none"/>
        </w:rPr>
        <w:t>；</w:t>
      </w:r>
    </w:p>
    <w:p w14:paraId="212BE273">
      <w:pPr>
        <w:pStyle w:val="12"/>
        <w:numPr>
          <w:ilvl w:val="0"/>
          <w:numId w:val="11"/>
        </w:numPr>
        <w:adjustRightInd w:val="0"/>
        <w:snapToGrid w:val="0"/>
        <w:spacing w:before="0" w:beforeLines="-2147483648"/>
        <w:ind w:firstLineChars="0"/>
        <w:outlineLvl w:val="9"/>
        <w:rPr>
          <w:rFonts w:hint="eastAsia" w:ascii="微软雅黑" w:hAnsi="微软雅黑" w:eastAsia="微软雅黑"/>
          <w:b w:val="0"/>
          <w:bCs w:val="0"/>
          <w:szCs w:val="21"/>
          <w:highlight w:val="none"/>
        </w:rPr>
      </w:pPr>
      <w:r>
        <w:rPr>
          <w:rFonts w:hint="eastAsia" w:ascii="微软雅黑" w:hAnsi="微软雅黑" w:eastAsia="微软雅黑" w:cstheme="minorBidi"/>
          <w:b/>
          <w:bCs/>
          <w:szCs w:val="21"/>
          <w:highlight w:val="none"/>
        </w:rPr>
        <w:t>特别提示：</w:t>
      </w:r>
      <w:r>
        <w:rPr>
          <w:rFonts w:hint="eastAsia" w:ascii="微软雅黑" w:hAnsi="微软雅黑" w:eastAsia="微软雅黑" w:cstheme="minorBidi"/>
          <w:szCs w:val="21"/>
          <w:highlight w:val="none"/>
        </w:rPr>
        <w:t>本责任无免赔额</w:t>
      </w:r>
      <w:r>
        <w:rPr>
          <w:rFonts w:hint="eastAsia" w:ascii="微软雅黑" w:hAnsi="微软雅黑" w:eastAsia="微软雅黑" w:cstheme="minorBidi"/>
          <w:szCs w:val="21"/>
          <w:highlight w:val="none"/>
          <w:lang w:eastAsia="zh-CN"/>
        </w:rPr>
        <w:t>，</w:t>
      </w:r>
      <w:r>
        <w:rPr>
          <w:rFonts w:hint="eastAsia" w:ascii="微软雅黑" w:hAnsi="微软雅黑" w:eastAsia="微软雅黑"/>
          <w:szCs w:val="21"/>
          <w:highlight w:val="none"/>
        </w:rPr>
        <w:t>康复住院转运救护车使用费</w:t>
      </w:r>
      <w:r>
        <w:rPr>
          <w:rFonts w:hint="eastAsia" w:ascii="微软雅黑" w:hAnsi="微软雅黑" w:eastAsia="微软雅黑"/>
          <w:szCs w:val="21"/>
          <w:highlight w:val="none"/>
          <w:lang w:val="en-US" w:eastAsia="zh-CN"/>
        </w:rPr>
        <w:t>单次限额1000元。</w:t>
      </w:r>
    </w:p>
    <w:p w14:paraId="42FB020C">
      <w:pPr>
        <w:pStyle w:val="12"/>
        <w:numPr>
          <w:ilvl w:val="0"/>
          <w:numId w:val="7"/>
        </w:numPr>
        <w:adjustRightInd w:val="0"/>
        <w:snapToGrid w:val="0"/>
        <w:spacing w:before="62" w:beforeLines="20"/>
        <w:ind w:firstLineChars="0"/>
        <w:outlineLvl w:val="0"/>
        <w:rPr>
          <w:rFonts w:hint="eastAsia" w:ascii="微软雅黑" w:hAnsi="微软雅黑" w:eastAsia="微软雅黑"/>
          <w:b/>
          <w:bCs/>
          <w:szCs w:val="21"/>
        </w:rPr>
      </w:pPr>
      <w:r>
        <w:rPr>
          <w:rFonts w:hint="eastAsia" w:ascii="微软雅黑" w:hAnsi="微软雅黑" w:eastAsia="微软雅黑"/>
          <w:b/>
          <w:bCs/>
          <w:szCs w:val="21"/>
        </w:rPr>
        <w:t>恶性肿瘤先进疗法医疗责任</w:t>
      </w:r>
    </w:p>
    <w:p w14:paraId="328A6CDD">
      <w:pPr>
        <w:pStyle w:val="12"/>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本责任包含下述1-</w:t>
      </w:r>
      <w:r>
        <w:rPr>
          <w:rFonts w:ascii="微软雅黑" w:hAnsi="微软雅黑" w:eastAsia="微软雅黑"/>
          <w:b/>
          <w:bCs/>
          <w:szCs w:val="21"/>
        </w:rPr>
        <w:t>3</w:t>
      </w:r>
      <w:r>
        <w:rPr>
          <w:rFonts w:hint="eastAsia" w:ascii="微软雅黑" w:hAnsi="微软雅黑" w:eastAsia="微软雅黑"/>
          <w:b/>
          <w:bCs/>
          <w:szCs w:val="21"/>
        </w:rPr>
        <w:t>类费用：</w:t>
      </w:r>
    </w:p>
    <w:p w14:paraId="037F2059">
      <w:pPr>
        <w:pStyle w:val="12"/>
        <w:numPr>
          <w:ilvl w:val="0"/>
          <w:numId w:val="12"/>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恶性肿瘤质子重离子医疗费用：</w:t>
      </w:r>
      <w:r>
        <w:rPr>
          <w:rFonts w:hint="eastAsia" w:ascii="微软雅黑" w:hAnsi="微软雅黑" w:eastAsia="微软雅黑"/>
          <w:szCs w:val="21"/>
          <w:highlight w:val="none"/>
        </w:rPr>
        <w:t>在保险期间内，被保险人在等待期30天后初次确诊罹患恶性肿瘤——重度，在经中华人民共和国卫生部门审核认定的、可开展质子治疗或重离子治疗的医疗机构（限中国大陆境内，不包括境外及香港特别行政区、澳门特别行政区、台湾省）接受质子重离子治疗而发生的恶性肿瘤质子重离子医疗费用，但不包括化学疗法、肿瘤免疫疗法、肿瘤内分泌疗法和肿瘤靶向疗法所产生的药品费。</w:t>
      </w:r>
      <w:r>
        <w:rPr>
          <w:rFonts w:hint="eastAsia" w:ascii="微软雅黑" w:hAnsi="微软雅黑" w:eastAsia="微软雅黑"/>
          <w:b/>
          <w:bCs/>
          <w:szCs w:val="21"/>
          <w:highlight w:val="none"/>
        </w:rPr>
        <w:t xml:space="preserve"> </w:t>
      </w:r>
    </w:p>
    <w:p w14:paraId="4972E6DD">
      <w:pPr>
        <w:pStyle w:val="12"/>
        <w:numPr>
          <w:ilvl w:val="0"/>
          <w:numId w:val="12"/>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恶性肿瘤硼中子俘获治疗医疗费用：</w:t>
      </w:r>
      <w:r>
        <w:rPr>
          <w:rFonts w:hint="eastAsia" w:ascii="微软雅黑" w:hAnsi="微软雅黑" w:eastAsia="微软雅黑"/>
          <w:szCs w:val="21"/>
        </w:rPr>
        <w:t>在保险期间内，被保险人在等待期30天后初次确诊罹患恶性肿瘤——重度，在</w:t>
      </w:r>
      <w:r>
        <w:rPr>
          <w:rFonts w:hint="eastAsia" w:ascii="微软雅黑" w:hAnsi="微软雅黑" w:eastAsia="微软雅黑"/>
          <w:szCs w:val="21"/>
          <w:u w:val="single"/>
        </w:rPr>
        <w:t>日本大阪关西BNCT中心、日本国立癌症研究中心、日本江户川病院、日本南东北BNCT中心</w:t>
      </w:r>
      <w:r>
        <w:rPr>
          <w:rFonts w:hint="eastAsia" w:ascii="微软雅黑" w:hAnsi="微软雅黑" w:eastAsia="微软雅黑"/>
          <w:szCs w:val="21"/>
        </w:rPr>
        <w:t>接受硼中子俘获治疗而发生的恶性肿瘤硼中子俘获治疗医疗费用，但不包括化学疗法、肿瘤免疫疗法、肿瘤内分泌疗法和肿瘤靶向疗法所产生的药品费。</w:t>
      </w:r>
      <w:r>
        <w:rPr>
          <w:rFonts w:hint="eastAsia" w:ascii="微软雅黑" w:hAnsi="微软雅黑" w:eastAsia="微软雅黑"/>
          <w:b/>
          <w:bCs/>
          <w:szCs w:val="21"/>
        </w:rPr>
        <w:t xml:space="preserve"> </w:t>
      </w:r>
    </w:p>
    <w:p w14:paraId="6748A368">
      <w:pPr>
        <w:pStyle w:val="12"/>
        <w:numPr>
          <w:ilvl w:val="0"/>
          <w:numId w:val="12"/>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恶性肿瘤光免疫疗法医疗费用：</w:t>
      </w:r>
      <w:r>
        <w:rPr>
          <w:rFonts w:hint="eastAsia" w:ascii="微软雅黑" w:hAnsi="微软雅黑" w:eastAsia="微软雅黑"/>
          <w:szCs w:val="21"/>
        </w:rPr>
        <w:t>在保险期间内，被保险人在等待期30天后初次确诊罹患恶性肿瘤——重度，在</w:t>
      </w:r>
      <w:bookmarkStart w:id="5" w:name="_Hlk150446342"/>
      <w:r>
        <w:rPr>
          <w:rFonts w:hint="eastAsia" w:ascii="微软雅黑" w:hAnsi="微软雅黑" w:eastAsia="微软雅黑"/>
          <w:szCs w:val="21"/>
          <w:u w:val="single"/>
        </w:rPr>
        <w:t>日本国立癌症研究中心东医院、日本东京医科大学病院</w:t>
      </w:r>
      <w:bookmarkEnd w:id="5"/>
      <w:r>
        <w:rPr>
          <w:rFonts w:hint="eastAsia" w:ascii="微软雅黑" w:hAnsi="微软雅黑" w:eastAsia="微软雅黑"/>
          <w:szCs w:val="21"/>
        </w:rPr>
        <w:t>接受光免疫疗法治疗而发生的恶性肿瘤光免疫疗法医疗费用，但不包括化学疗法、肿瘤免疫疗法、肿瘤内分泌疗法和肿瘤靶向疗法所产生的药品费。</w:t>
      </w:r>
    </w:p>
    <w:p w14:paraId="04D2F699">
      <w:pPr>
        <w:pStyle w:val="12"/>
        <w:numPr>
          <w:ilvl w:val="0"/>
          <w:numId w:val="12"/>
        </w:numPr>
        <w:adjustRightInd w:val="0"/>
        <w:snapToGrid w:val="0"/>
        <w:ind w:firstLineChars="0"/>
        <w:rPr>
          <w:rFonts w:hint="eastAsia" w:ascii="微软雅黑" w:hAnsi="微软雅黑" w:eastAsia="微软雅黑"/>
          <w:b/>
          <w:bCs/>
          <w:szCs w:val="21"/>
        </w:rPr>
      </w:pPr>
      <w:r>
        <w:rPr>
          <w:rFonts w:hint="eastAsia" w:ascii="微软雅黑" w:hAnsi="微软雅黑" w:eastAsia="微软雅黑"/>
          <w:szCs w:val="21"/>
        </w:rPr>
        <w:t>保险人按100%的赔付比例给付本项保险金，年累计给付以</w:t>
      </w:r>
      <w:r>
        <w:rPr>
          <w:rFonts w:ascii="微软雅黑" w:hAnsi="微软雅黑" w:eastAsia="微软雅黑"/>
          <w:szCs w:val="21"/>
        </w:rPr>
        <w:t>6</w:t>
      </w:r>
      <w:r>
        <w:rPr>
          <w:rFonts w:hint="eastAsia" w:ascii="微软雅黑" w:hAnsi="微软雅黑" w:eastAsia="微软雅黑"/>
          <w:szCs w:val="21"/>
        </w:rPr>
        <w:t>00万元为限，床位费限1500元/天</w:t>
      </w:r>
      <w:r>
        <w:rPr>
          <w:rFonts w:hint="eastAsia" w:ascii="微软雅黑" w:hAnsi="微软雅黑" w:eastAsia="微软雅黑" w:cs="微软雅黑"/>
          <w:bCs/>
          <w:color w:val="000000"/>
          <w:szCs w:val="21"/>
        </w:rPr>
        <w:t>（不包括单人病房、套房、家庭病床）</w:t>
      </w:r>
      <w:r>
        <w:rPr>
          <w:rFonts w:hint="eastAsia" w:ascii="微软雅黑" w:hAnsi="微软雅黑" w:eastAsia="微软雅黑"/>
          <w:szCs w:val="21"/>
        </w:rPr>
        <w:t>。</w:t>
      </w:r>
    </w:p>
    <w:p w14:paraId="545891EC">
      <w:pPr>
        <w:pStyle w:val="12"/>
        <w:numPr>
          <w:ilvl w:val="0"/>
          <w:numId w:val="12"/>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特别提示：</w:t>
      </w:r>
      <w:r>
        <w:rPr>
          <w:rFonts w:hint="eastAsia" w:ascii="微软雅黑" w:hAnsi="微软雅黑" w:eastAsia="微软雅黑"/>
          <w:szCs w:val="21"/>
        </w:rPr>
        <w:t>本责任无免赔额。本责任包含恶性肿瘤先进疗法就医协助服务，限被保险人本人且应在等待期后的保险期限内使用。若需使用该服务，请致电服务电话：952299或1010-9955。</w:t>
      </w:r>
    </w:p>
    <w:p w14:paraId="64E2EACA">
      <w:pPr>
        <w:pStyle w:val="12"/>
        <w:numPr>
          <w:ilvl w:val="0"/>
          <w:numId w:val="7"/>
        </w:numPr>
        <w:adjustRightInd w:val="0"/>
        <w:snapToGrid w:val="0"/>
        <w:spacing w:before="62" w:beforeLines="20"/>
        <w:ind w:firstLineChars="0"/>
        <w:outlineLvl w:val="0"/>
        <w:rPr>
          <w:rFonts w:hint="eastAsia" w:ascii="微软雅黑" w:hAnsi="微软雅黑" w:eastAsia="微软雅黑"/>
          <w:b/>
          <w:bCs/>
          <w:szCs w:val="21"/>
        </w:rPr>
      </w:pPr>
      <w:r>
        <w:rPr>
          <w:rFonts w:hint="eastAsia" w:ascii="微软雅黑" w:hAnsi="微软雅黑" w:eastAsia="微软雅黑"/>
          <w:b/>
          <w:bCs/>
          <w:szCs w:val="21"/>
        </w:rPr>
        <w:t>特定药品费用医疗责任</w:t>
      </w:r>
    </w:p>
    <w:p w14:paraId="383BE038">
      <w:pPr>
        <w:pStyle w:val="12"/>
        <w:adjustRightInd w:val="0"/>
        <w:snapToGrid w:val="0"/>
        <w:ind w:left="420" w:firstLine="0" w:firstLineChars="0"/>
        <w:rPr>
          <w:rFonts w:hint="eastAsia" w:ascii="微软雅黑" w:hAnsi="微软雅黑" w:eastAsia="微软雅黑"/>
          <w:b/>
          <w:bCs/>
          <w:szCs w:val="21"/>
        </w:rPr>
      </w:pPr>
      <w:r>
        <w:rPr>
          <w:rFonts w:hint="eastAsia" w:ascii="微软雅黑" w:hAnsi="微软雅黑" w:eastAsia="微软雅黑"/>
          <w:b/>
          <w:bCs/>
          <w:szCs w:val="21"/>
        </w:rPr>
        <w:t>本责任包含下述1-</w:t>
      </w:r>
      <w:r>
        <w:rPr>
          <w:rFonts w:ascii="微软雅黑" w:hAnsi="微软雅黑" w:eastAsia="微软雅黑"/>
          <w:b/>
          <w:bCs/>
          <w:szCs w:val="21"/>
        </w:rPr>
        <w:t>4</w:t>
      </w:r>
      <w:r>
        <w:rPr>
          <w:rFonts w:hint="eastAsia" w:ascii="微软雅黑" w:hAnsi="微软雅黑" w:eastAsia="微软雅黑"/>
          <w:b/>
          <w:bCs/>
          <w:szCs w:val="21"/>
        </w:rPr>
        <w:t>类费用：</w:t>
      </w:r>
    </w:p>
    <w:p w14:paraId="6C158B4C">
      <w:pPr>
        <w:pStyle w:val="12"/>
        <w:numPr>
          <w:ilvl w:val="0"/>
          <w:numId w:val="13"/>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恶性肿瘤——重度院外特定药品费用及恶性肿瘤——重度特定药品基因检测费用：</w:t>
      </w:r>
      <w:r>
        <w:rPr>
          <w:rFonts w:hint="eastAsia" w:ascii="微软雅黑" w:hAnsi="微软雅黑" w:eastAsia="微软雅黑"/>
          <w:szCs w:val="21"/>
        </w:rPr>
        <w:t>在保险期间内，被保险人在等待期30天后初次确诊罹患恶性肿瘤——重度，治疗实际发生的合理且必需的且同时满足合同定义的特定药品费用和恶性肿瘤——重度基因检测费用。</w:t>
      </w:r>
    </w:p>
    <w:p w14:paraId="118DE357">
      <w:pPr>
        <w:pStyle w:val="12"/>
        <w:numPr>
          <w:ilvl w:val="0"/>
          <w:numId w:val="14"/>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szCs w:val="21"/>
        </w:rPr>
        <w:t>特定药品费用：</w:t>
      </w:r>
    </w:p>
    <w:p w14:paraId="0B57367C">
      <w:pPr>
        <w:pStyle w:val="12"/>
        <w:numPr>
          <w:ilvl w:val="0"/>
          <w:numId w:val="15"/>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被保险人须在保险人指定的药店进行特定药品的购买。</w:t>
      </w:r>
    </w:p>
    <w:p w14:paraId="2BD1D72A">
      <w:pPr>
        <w:pStyle w:val="12"/>
        <w:numPr>
          <w:ilvl w:val="0"/>
          <w:numId w:val="15"/>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hint="eastAsia" w:ascii="微软雅黑" w:hAnsi="微软雅黑" w:eastAsia="微软雅黑"/>
          <w:szCs w:val="21"/>
        </w:rPr>
        <w:t>；</w:t>
      </w:r>
    </w:p>
    <w:p w14:paraId="2C382EDD">
      <w:pPr>
        <w:pStyle w:val="12"/>
        <w:numPr>
          <w:ilvl w:val="0"/>
          <w:numId w:val="15"/>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本项费用包含肿瘤特药服务，限被保险人本人且应在等待期后的保险期限内使用。若需使用该服务，请致电服务电话：952299或1010-9955。</w:t>
      </w:r>
    </w:p>
    <w:p w14:paraId="026AAE81">
      <w:pPr>
        <w:pStyle w:val="12"/>
        <w:numPr>
          <w:ilvl w:val="0"/>
          <w:numId w:val="14"/>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szCs w:val="21"/>
        </w:rPr>
        <w:t>恶性肿瘤——重度基因检测费用：</w:t>
      </w:r>
    </w:p>
    <w:p w14:paraId="51B532A6">
      <w:pPr>
        <w:pStyle w:val="12"/>
        <w:numPr>
          <w:ilvl w:val="0"/>
          <w:numId w:val="16"/>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szCs w:val="21"/>
        </w:rPr>
        <w:t>恶性肿瘤——重度特定药品基因检测必须是为了确定被保险人初次确诊罹患本合同约定的恶性肿瘤——重度且为治疗该恶性肿瘤而发生的、必需且合理的、用药方案所发生的；</w:t>
      </w:r>
    </w:p>
    <w:p w14:paraId="2F64F575">
      <w:pPr>
        <w:pStyle w:val="12"/>
        <w:numPr>
          <w:ilvl w:val="0"/>
          <w:numId w:val="16"/>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szCs w:val="21"/>
        </w:rPr>
        <w:t>被保险人进行恶性肿瘤——重度特定药品基因检测前，需按保险人指定流程提交相应材料并通过审核，</w:t>
      </w:r>
      <w:r>
        <w:rPr>
          <w:rFonts w:hint="eastAsia" w:ascii="微软雅黑" w:hAnsi="微软雅黑" w:eastAsia="微软雅黑" w:cs="微软雅黑"/>
          <w:color w:val="000000"/>
          <w:szCs w:val="21"/>
        </w:rPr>
        <w:t>具体流程见条款中</w:t>
      </w:r>
      <w:r>
        <w:rPr>
          <w:rFonts w:hint="eastAsia" w:ascii="微软雅黑" w:hAnsi="微软雅黑" w:eastAsia="微软雅黑"/>
          <w:szCs w:val="21"/>
        </w:rPr>
        <w:t>“恶性肿瘤——重度特定药品基因检测费用授权申请、审核和基因检测”；</w:t>
      </w:r>
    </w:p>
    <w:p w14:paraId="4F294A3E">
      <w:pPr>
        <w:pStyle w:val="12"/>
        <w:numPr>
          <w:ilvl w:val="0"/>
          <w:numId w:val="16"/>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szCs w:val="21"/>
        </w:rPr>
        <w:t>恶性肿瘤——重度特定药品基因检测在本合同约定的基因检测机构内发生的，赔付费用由由保险人与保险人指定的基因检测机构或第三方服务商直接结算。若被保险人未在本合同约定的基因检测机构内发生，保险人只承担60%的保险金赔付责任。</w:t>
      </w:r>
    </w:p>
    <w:p w14:paraId="7E1203F6">
      <w:pPr>
        <w:pStyle w:val="12"/>
        <w:numPr>
          <w:ilvl w:val="0"/>
          <w:numId w:val="16"/>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szCs w:val="21"/>
        </w:rPr>
        <w:t>恶性肿瘤——重度特定药品基因检测费用限1万元。</w:t>
      </w:r>
    </w:p>
    <w:p w14:paraId="142EF399">
      <w:pPr>
        <w:pStyle w:val="12"/>
        <w:numPr>
          <w:ilvl w:val="0"/>
          <w:numId w:val="16"/>
        </w:numPr>
        <w:adjustRightInd w:val="0"/>
        <w:snapToGrid w:val="0"/>
        <w:ind w:left="1702" w:leftChars="600" w:hanging="442"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本项费用包含基因检测服务，限被保险人本人且应在等待期后的保险期限内使用。若需使用该服务，请致电服务电话：952299或1010-9955。</w:t>
      </w:r>
    </w:p>
    <w:p w14:paraId="6843F88A">
      <w:pPr>
        <w:pStyle w:val="12"/>
        <w:numPr>
          <w:ilvl w:val="0"/>
          <w:numId w:val="13"/>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罕见病特定药品费用</w:t>
      </w:r>
    </w:p>
    <w:p w14:paraId="12A2BCAC">
      <w:pPr>
        <w:pStyle w:val="12"/>
        <w:numPr>
          <w:ilvl w:val="0"/>
          <w:numId w:val="17"/>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szCs w:val="21"/>
        </w:rPr>
        <w:t>在保险期间内，被保险人在</w:t>
      </w:r>
      <w:r>
        <w:rPr>
          <w:rFonts w:hint="eastAsia" w:ascii="微软雅黑" w:hAnsi="微软雅黑" w:eastAsia="微软雅黑" w:cs="微软雅黑"/>
          <w:color w:val="000000"/>
          <w:szCs w:val="21"/>
        </w:rPr>
        <w:t>等待期30天后初次确诊罹患本合同约定的1</w:t>
      </w:r>
      <w:r>
        <w:rPr>
          <w:rFonts w:ascii="微软雅黑" w:hAnsi="微软雅黑" w:eastAsia="微软雅黑" w:cs="微软雅黑"/>
          <w:color w:val="000000"/>
          <w:szCs w:val="21"/>
        </w:rPr>
        <w:t>3</w:t>
      </w:r>
      <w:r>
        <w:rPr>
          <w:rFonts w:hint="eastAsia" w:ascii="微软雅黑" w:hAnsi="微软雅黑" w:eastAsia="微软雅黑" w:cs="微软雅黑"/>
          <w:color w:val="000000"/>
          <w:szCs w:val="21"/>
        </w:rPr>
        <w:t>种罕见病</w:t>
      </w:r>
      <w:r>
        <w:rPr>
          <w:rFonts w:hint="eastAsia" w:ascii="微软雅黑" w:hAnsi="微软雅黑" w:eastAsia="微软雅黑"/>
          <w:szCs w:val="21"/>
        </w:rPr>
        <w:t>，治疗实际发生的合理且必需的且同时满足合同定义的特定药品费用；</w:t>
      </w:r>
    </w:p>
    <w:p w14:paraId="082CD39A">
      <w:pPr>
        <w:pStyle w:val="13"/>
        <w:numPr>
          <w:ilvl w:val="0"/>
          <w:numId w:val="17"/>
        </w:numPr>
        <w:tabs>
          <w:tab w:val="left" w:pos="420"/>
        </w:tabs>
        <w:adjustRightInd w:val="0"/>
        <w:snapToGrid w:val="0"/>
        <w:ind w:left="840" w:leftChars="400" w:firstLineChars="0"/>
        <w:jc w:val="left"/>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被保险人须在保险人指定的药店进行特定药品的购买；</w:t>
      </w:r>
    </w:p>
    <w:p w14:paraId="3ABE6881">
      <w:pPr>
        <w:pStyle w:val="12"/>
        <w:numPr>
          <w:ilvl w:val="0"/>
          <w:numId w:val="17"/>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hint="eastAsia" w:ascii="微软雅黑" w:hAnsi="微软雅黑" w:eastAsia="微软雅黑"/>
          <w:szCs w:val="21"/>
        </w:rPr>
        <w:t>。</w:t>
      </w:r>
    </w:p>
    <w:p w14:paraId="35BBE120">
      <w:pPr>
        <w:pStyle w:val="12"/>
        <w:numPr>
          <w:ilvl w:val="0"/>
          <w:numId w:val="17"/>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本项费用包含罕见病特药服务，限被保险人本人且应在等待期后的保险期限内使用。若需使用该服务，请致电服务电话：952299或1010-9955。</w:t>
      </w:r>
    </w:p>
    <w:p w14:paraId="03B84E50">
      <w:pPr>
        <w:pStyle w:val="12"/>
        <w:numPr>
          <w:ilvl w:val="0"/>
          <w:numId w:val="13"/>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特定进口药品费用及特定医疗机构住院医疗费用</w:t>
      </w:r>
    </w:p>
    <w:p w14:paraId="50A103B1">
      <w:pPr>
        <w:pStyle w:val="12"/>
        <w:numPr>
          <w:ilvl w:val="0"/>
          <w:numId w:val="18"/>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szCs w:val="21"/>
        </w:rPr>
        <w:t>在保险期间内，在等待期30天后经</w:t>
      </w:r>
      <w:bookmarkStart w:id="6" w:name="_Hlk150446864"/>
      <w:r>
        <w:rPr>
          <w:rFonts w:hint="eastAsia" w:ascii="微软雅黑" w:hAnsi="微软雅黑" w:eastAsia="微软雅黑"/>
          <w:szCs w:val="21"/>
        </w:rPr>
        <w:t>海南博鳌超级医院、博鳌恒大国际医院</w:t>
      </w:r>
      <w:bookmarkEnd w:id="6"/>
      <w:r>
        <w:rPr>
          <w:rFonts w:hint="eastAsia" w:ascii="微软雅黑" w:hAnsi="微软雅黑" w:eastAsia="微软雅黑"/>
          <w:szCs w:val="21"/>
        </w:rPr>
        <w:t>的专科医生初次确诊罹患约定的《特种进口药品及疾病》清单中的疾病，且经诊断必须</w:t>
      </w:r>
      <w:r>
        <w:rPr>
          <w:rFonts w:ascii="微软雅黑" w:hAnsi="微软雅黑" w:eastAsia="微软雅黑"/>
          <w:szCs w:val="21"/>
        </w:rPr>
        <w:t>使用</w:t>
      </w:r>
      <w:r>
        <w:rPr>
          <w:rFonts w:hint="eastAsia" w:ascii="微软雅黑" w:hAnsi="微软雅黑" w:eastAsia="微软雅黑"/>
          <w:szCs w:val="21"/>
        </w:rPr>
        <w:t>临床急需进口药品治疗，治疗实际发生的合理且必需的且同时满足合同定义的院外特定药品费用特定医疗机构住院医疗费用；</w:t>
      </w:r>
    </w:p>
    <w:p w14:paraId="4C1772B8">
      <w:pPr>
        <w:pStyle w:val="13"/>
        <w:numPr>
          <w:ilvl w:val="0"/>
          <w:numId w:val="18"/>
        </w:numPr>
        <w:tabs>
          <w:tab w:val="left" w:pos="420"/>
        </w:tabs>
        <w:adjustRightInd w:val="0"/>
        <w:snapToGrid w:val="0"/>
        <w:ind w:left="840" w:leftChars="400" w:firstLineChars="0"/>
        <w:jc w:val="left"/>
        <w:rPr>
          <w:rFonts w:hint="eastAsia" w:ascii="微软雅黑" w:hAnsi="微软雅黑" w:eastAsia="微软雅黑" w:cs="微软雅黑"/>
          <w:color w:val="000000"/>
          <w:szCs w:val="21"/>
        </w:rPr>
      </w:pPr>
      <w:r>
        <w:rPr>
          <w:rFonts w:hint="eastAsia" w:ascii="微软雅黑" w:hAnsi="微软雅黑" w:eastAsia="微软雅黑" w:cs="微软雅黑"/>
          <w:color w:val="000000"/>
          <w:szCs w:val="21"/>
        </w:rPr>
        <w:t>被保险人</w:t>
      </w:r>
      <w:r>
        <w:rPr>
          <w:rFonts w:hint="eastAsia" w:ascii="微软雅黑" w:hAnsi="微软雅黑" w:eastAsia="微软雅黑"/>
          <w:szCs w:val="21"/>
        </w:rPr>
        <w:t>须在特定医疗机构购买处方中所列药品，且该药品在《特种进口药品及疾病》</w:t>
      </w:r>
      <w:r>
        <w:rPr>
          <w:rFonts w:ascii="微软雅黑" w:hAnsi="微软雅黑" w:eastAsia="微软雅黑"/>
          <w:szCs w:val="21"/>
        </w:rPr>
        <w:t>清单中</w:t>
      </w:r>
      <w:r>
        <w:rPr>
          <w:rFonts w:hint="eastAsia" w:ascii="微软雅黑" w:hAnsi="微软雅黑" w:eastAsia="微软雅黑" w:cs="微软雅黑"/>
          <w:color w:val="000000"/>
          <w:szCs w:val="21"/>
        </w:rPr>
        <w:t>；</w:t>
      </w:r>
    </w:p>
    <w:p w14:paraId="4DD3F44C">
      <w:pPr>
        <w:pStyle w:val="12"/>
        <w:numPr>
          <w:ilvl w:val="0"/>
          <w:numId w:val="18"/>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szCs w:val="21"/>
        </w:rPr>
        <w:t>被保险人的住院医疗费用须在本合同所约定的特定医疗机构中发生，住院医疗费用包括床位费、加床费、膳食费、护理费、重症监护室床位费、诊疗费、检查检验费、治疗费、药品费、手术费、救护车使用费、手术机器人使用费；</w:t>
      </w:r>
    </w:p>
    <w:p w14:paraId="3A98D961">
      <w:pPr>
        <w:pStyle w:val="12"/>
        <w:numPr>
          <w:ilvl w:val="0"/>
          <w:numId w:val="18"/>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在购买处方中所列特定药品及接受特定医疗机构住院治疗前，需按保险人指定流程提交相应材料并通过处方审核，具体流程见条款中“特定进口药品及住院医疗授权申请、药品处方审核、购药及住院治疗流程”的相关规定</w:t>
      </w:r>
      <w:r>
        <w:rPr>
          <w:rFonts w:hint="eastAsia" w:ascii="微软雅黑" w:hAnsi="微软雅黑" w:eastAsia="微软雅黑"/>
          <w:szCs w:val="21"/>
        </w:rPr>
        <w:t>；</w:t>
      </w:r>
    </w:p>
    <w:p w14:paraId="14D84498">
      <w:pPr>
        <w:pStyle w:val="12"/>
        <w:numPr>
          <w:ilvl w:val="0"/>
          <w:numId w:val="18"/>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本项费用包含特定进口药品服务，限被保险人本人且应在等待期后的保险期限内使用。若需使用该服务，请致电服务电话：952299或1010-9955。</w:t>
      </w:r>
    </w:p>
    <w:p w14:paraId="47CC3357">
      <w:pPr>
        <w:pStyle w:val="12"/>
        <w:numPr>
          <w:ilvl w:val="0"/>
          <w:numId w:val="13"/>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指定疾病急需药品费用</w:t>
      </w:r>
    </w:p>
    <w:p w14:paraId="7FDA6C50">
      <w:pPr>
        <w:pStyle w:val="12"/>
        <w:numPr>
          <w:ilvl w:val="0"/>
          <w:numId w:val="19"/>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szCs w:val="21"/>
        </w:rPr>
        <w:t>在保险期间内，被保险人在等待期后经中华人民共和国境内（不包括香港特别行政区、澳门特别行政区、台湾省）医院的专科医生初次确诊罹患约定的《指定疾病急需药品清单》清单中的疾病，治疗实际发生的、必需且合理的且同时满足以下条件的指定疾病急需药品费用；</w:t>
      </w:r>
    </w:p>
    <w:p w14:paraId="797A45D9">
      <w:pPr>
        <w:pStyle w:val="12"/>
        <w:numPr>
          <w:ilvl w:val="0"/>
          <w:numId w:val="19"/>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被保险人须在保险人指定的药店进行特定药品的购买；</w:t>
      </w:r>
    </w:p>
    <w:p w14:paraId="5F0714D7">
      <w:pPr>
        <w:pStyle w:val="12"/>
        <w:numPr>
          <w:ilvl w:val="0"/>
          <w:numId w:val="19"/>
        </w:numPr>
        <w:adjustRightInd w:val="0"/>
        <w:snapToGrid w:val="0"/>
        <w:ind w:left="840" w:leftChars="400" w:firstLineChars="0"/>
        <w:rPr>
          <w:rFonts w:hint="eastAsia" w:ascii="微软雅黑" w:hAnsi="微软雅黑" w:eastAsia="微软雅黑"/>
          <w:szCs w:val="21"/>
        </w:rPr>
      </w:pPr>
      <w:r>
        <w:rPr>
          <w:rFonts w:hint="eastAsia" w:ascii="微软雅黑" w:hAnsi="微软雅黑" w:eastAsia="微软雅黑" w:cs="微软雅黑"/>
          <w:color w:val="000000"/>
          <w:szCs w:val="21"/>
        </w:rPr>
        <w:t>被保险人在购买处方中所列特定药品前，需按保险人指定流程提交相应材料并通过处方审核，具体流程见条款中“指定疾病急需药品授权申请、药品处方审核和药品购买”的相关规定</w:t>
      </w:r>
      <w:r>
        <w:rPr>
          <w:rFonts w:hint="eastAsia" w:ascii="微软雅黑" w:hAnsi="微软雅黑" w:eastAsia="微软雅黑"/>
          <w:szCs w:val="21"/>
        </w:rPr>
        <w:t>。</w:t>
      </w:r>
    </w:p>
    <w:p w14:paraId="2DB765C1">
      <w:pPr>
        <w:pStyle w:val="12"/>
        <w:numPr>
          <w:ilvl w:val="0"/>
          <w:numId w:val="19"/>
        </w:numPr>
        <w:adjustRightInd w:val="0"/>
        <w:snapToGrid w:val="0"/>
        <w:ind w:left="840" w:leftChars="400" w:firstLineChars="0"/>
        <w:rPr>
          <w:rFonts w:hint="eastAsia" w:ascii="微软雅黑" w:hAnsi="微软雅黑" w:eastAsia="微软雅黑"/>
          <w:b/>
          <w:bCs/>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本项费用包含指定疾病急需药品服务，限被保险人本人且应在等待期后的保险期限内使用。若需使用该服务，请致电服务电话：952299或1010-9955。</w:t>
      </w:r>
    </w:p>
    <w:p w14:paraId="6FC77B4C">
      <w:pPr>
        <w:pStyle w:val="12"/>
        <w:numPr>
          <w:ilvl w:val="0"/>
          <w:numId w:val="1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保险人按100%的赔付比例给付本项保险金，年累计给付以</w:t>
      </w:r>
      <w:r>
        <w:rPr>
          <w:rFonts w:ascii="微软雅黑" w:hAnsi="微软雅黑" w:eastAsia="微软雅黑"/>
          <w:szCs w:val="21"/>
        </w:rPr>
        <w:t>6</w:t>
      </w:r>
      <w:r>
        <w:rPr>
          <w:rFonts w:hint="eastAsia" w:ascii="微软雅黑" w:hAnsi="微软雅黑" w:eastAsia="微软雅黑"/>
          <w:szCs w:val="21"/>
        </w:rPr>
        <w:t>00万元为限；</w:t>
      </w:r>
    </w:p>
    <w:p w14:paraId="52D1F8D0">
      <w:pPr>
        <w:pStyle w:val="12"/>
        <w:numPr>
          <w:ilvl w:val="0"/>
          <w:numId w:val="1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仅赔付责任内约定的药品清单中列明的药品，若为社保目录内药品，社保报销后剩余部分按100%赔付；以有基本医疗保险或公费医疗身份参保，但未以基本医疗保险或公费医疗身份就诊并结算的，则赔付比例调整为60%；若为社保目录外药品，100%赔付；约定的药品清单以保险人最新公布信息为准，保险人保留对药品清单进行变更的权利，将根据医疗水平的发展对药品清单进行更新；</w:t>
      </w:r>
    </w:p>
    <w:p w14:paraId="4409FCFB">
      <w:pPr>
        <w:pStyle w:val="12"/>
        <w:numPr>
          <w:ilvl w:val="0"/>
          <w:numId w:val="13"/>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本责任无免赔额。</w:t>
      </w:r>
    </w:p>
    <w:p w14:paraId="5C43141C">
      <w:pPr>
        <w:pStyle w:val="12"/>
        <w:numPr>
          <w:ilvl w:val="0"/>
          <w:numId w:val="7"/>
        </w:numPr>
        <w:adjustRightInd w:val="0"/>
        <w:snapToGrid w:val="0"/>
        <w:spacing w:before="62" w:beforeLines="20"/>
        <w:ind w:firstLineChars="0"/>
        <w:outlineLvl w:val="0"/>
        <w:rPr>
          <w:rFonts w:hint="eastAsia" w:ascii="微软雅黑" w:hAnsi="微软雅黑" w:eastAsia="微软雅黑"/>
          <w:b/>
          <w:bCs/>
          <w:szCs w:val="21"/>
        </w:rPr>
      </w:pPr>
      <w:r>
        <w:rPr>
          <w:rFonts w:hint="eastAsia" w:ascii="微软雅黑" w:hAnsi="微软雅黑" w:eastAsia="微软雅黑"/>
          <w:b/>
          <w:bCs/>
          <w:szCs w:val="21"/>
        </w:rPr>
        <w:t>重大疾病异地转诊公共交通费用及住宿费用责任</w:t>
      </w:r>
    </w:p>
    <w:p w14:paraId="14675A21">
      <w:pPr>
        <w:pStyle w:val="12"/>
        <w:numPr>
          <w:ilvl w:val="0"/>
          <w:numId w:val="2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在保险期间内，被保险人因遭受意外伤害事故导致罹患或在等待期30天后初次确诊罹患本合同约定的100种重大疾病；</w:t>
      </w:r>
    </w:p>
    <w:p w14:paraId="5BF9634D">
      <w:pPr>
        <w:pStyle w:val="12"/>
        <w:numPr>
          <w:ilvl w:val="0"/>
          <w:numId w:val="2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因病情需要跨省或自治区或直辖市（仅限中国大陆境内，不包括境外及香港特别行政区、澳门特别行政区、台湾省）住院治疗，经被保险人申请，由转出医院开具转院证明，对被保险人和被保险人的一名亲属陪同时（如有）发生的必需且合理的因异地转诊产生的重大疾病异地转诊公共交通费用和重大疾病异地转诊住宿费用；</w:t>
      </w:r>
    </w:p>
    <w:p w14:paraId="09636D79">
      <w:pPr>
        <w:pStyle w:val="12"/>
        <w:numPr>
          <w:ilvl w:val="0"/>
          <w:numId w:val="2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保险人按100%的赔付比例给付本项保险金，年累计给付以</w:t>
      </w:r>
      <w:r>
        <w:rPr>
          <w:rFonts w:ascii="微软雅黑" w:hAnsi="微软雅黑" w:eastAsia="微软雅黑"/>
          <w:szCs w:val="21"/>
        </w:rPr>
        <w:t>1</w:t>
      </w:r>
      <w:r>
        <w:rPr>
          <w:rFonts w:hint="eastAsia" w:ascii="微软雅黑" w:hAnsi="微软雅黑" w:eastAsia="微软雅黑"/>
          <w:szCs w:val="21"/>
        </w:rPr>
        <w:t>万元为限；</w:t>
      </w:r>
    </w:p>
    <w:p w14:paraId="466B6F08">
      <w:pPr>
        <w:pStyle w:val="12"/>
        <w:numPr>
          <w:ilvl w:val="0"/>
          <w:numId w:val="2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被保险人飞机舱位级别最高以经济舱（包含超级经济舱）为限，火车（含动车、高铁）以软卧或一等座为限；</w:t>
      </w:r>
    </w:p>
    <w:p w14:paraId="4738060C">
      <w:pPr>
        <w:pStyle w:val="12"/>
        <w:numPr>
          <w:ilvl w:val="0"/>
          <w:numId w:val="20"/>
        </w:numPr>
        <w:adjustRightInd w:val="0"/>
        <w:snapToGrid w:val="0"/>
        <w:ind w:firstLineChars="0"/>
        <w:rPr>
          <w:rFonts w:hint="eastAsia" w:ascii="微软雅黑" w:hAnsi="微软雅黑" w:eastAsia="微软雅黑"/>
          <w:szCs w:val="21"/>
        </w:rPr>
      </w:pPr>
      <w:bookmarkStart w:id="7" w:name="_Hlk127211024"/>
      <w:r>
        <w:rPr>
          <w:rFonts w:hint="eastAsia" w:ascii="微软雅黑" w:hAnsi="微软雅黑" w:eastAsia="微软雅黑"/>
          <w:szCs w:val="21"/>
        </w:rPr>
        <w:t>住宿费为到达转院目的地后的住宿费，以标准间（标准双床房或标准大床房）为限，单日重大疾病异地转诊住宿费用以500元/天为限</w:t>
      </w:r>
      <w:bookmarkEnd w:id="7"/>
      <w:r>
        <w:rPr>
          <w:rFonts w:hint="eastAsia" w:ascii="微软雅黑" w:hAnsi="微软雅黑" w:eastAsia="微软雅黑"/>
          <w:szCs w:val="21"/>
        </w:rPr>
        <w:t>；</w:t>
      </w:r>
    </w:p>
    <w:p w14:paraId="5E9C0AEE">
      <w:pPr>
        <w:pStyle w:val="12"/>
        <w:numPr>
          <w:ilvl w:val="0"/>
          <w:numId w:val="2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亲属指被保险人本人的配偶、父母、配偶的父母、子女、兄弟或姐妹、（外）祖父母、（外）孙子女。</w:t>
      </w:r>
    </w:p>
    <w:p w14:paraId="228F68F7">
      <w:pPr>
        <w:pStyle w:val="12"/>
        <w:numPr>
          <w:ilvl w:val="0"/>
          <w:numId w:val="7"/>
        </w:numPr>
        <w:adjustRightInd w:val="0"/>
        <w:snapToGrid w:val="0"/>
        <w:spacing w:before="62" w:beforeLines="20"/>
        <w:ind w:firstLineChars="0"/>
        <w:outlineLvl w:val="0"/>
        <w:rPr>
          <w:rFonts w:hint="eastAsia" w:ascii="微软雅黑" w:hAnsi="微软雅黑" w:eastAsia="微软雅黑"/>
          <w:b/>
          <w:bCs/>
          <w:szCs w:val="21"/>
        </w:rPr>
      </w:pPr>
      <w:r>
        <w:rPr>
          <w:rFonts w:hint="eastAsia" w:ascii="微软雅黑" w:hAnsi="微软雅黑" w:eastAsia="微软雅黑"/>
          <w:b/>
          <w:bCs/>
          <w:szCs w:val="21"/>
        </w:rPr>
        <w:t>重大疾病住院护工费用责任</w:t>
      </w:r>
    </w:p>
    <w:p w14:paraId="72BA8426">
      <w:pPr>
        <w:pStyle w:val="12"/>
        <w:numPr>
          <w:ilvl w:val="0"/>
          <w:numId w:val="2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导致罹患或在等待期30天后初次确诊罹患本合同约定的100种重大疾病，在中华人民共和国卫生部门审核认定的二级及二级以上的公立医院及本保单约定的指定民营医疗机构普通部接受住院治疗，且经保险人指定或认可的医疗服务机构提供住院护工服务的；</w:t>
      </w:r>
    </w:p>
    <w:p w14:paraId="786C9D63">
      <w:pPr>
        <w:pStyle w:val="12"/>
        <w:numPr>
          <w:ilvl w:val="0"/>
          <w:numId w:val="2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对于被保险人每次实际住院护工天数，按</w:t>
      </w:r>
      <w:r>
        <w:rPr>
          <w:rFonts w:ascii="微软雅黑" w:hAnsi="微软雅黑" w:eastAsia="微软雅黑"/>
          <w:szCs w:val="21"/>
        </w:rPr>
        <w:t>5</w:t>
      </w:r>
      <w:r>
        <w:rPr>
          <w:rFonts w:hint="eastAsia" w:ascii="微软雅黑" w:hAnsi="微软雅黑" w:eastAsia="微软雅黑"/>
          <w:szCs w:val="21"/>
        </w:rPr>
        <w:t>00元/天给付重大疾病住院护工费用保险金，单次住院给付日数以30日为限，同一保险年度累计给付天数以30天为限；</w:t>
      </w:r>
    </w:p>
    <w:p w14:paraId="79DEDB45">
      <w:pPr>
        <w:pStyle w:val="12"/>
        <w:numPr>
          <w:ilvl w:val="0"/>
          <w:numId w:val="2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w:t>
      </w:r>
      <w:r>
        <w:rPr>
          <w:rFonts w:hint="eastAsia" w:ascii="微软雅黑" w:hAnsi="微软雅黑" w:eastAsia="微软雅黑" w:cs="微软雅黑"/>
          <w:color w:val="000000"/>
          <w:szCs w:val="21"/>
        </w:rPr>
        <w:t>经保险人指定或认可的医疗服务机构进行住院照护服务前，需按保险人指定流程提交相应材料并通过审核具体流程见条款中“重大疾病住院护工费用保险金申请”的相关规定</w:t>
      </w:r>
      <w:r>
        <w:rPr>
          <w:rFonts w:hint="eastAsia" w:ascii="微软雅黑" w:hAnsi="微软雅黑" w:eastAsia="微软雅黑"/>
          <w:szCs w:val="21"/>
        </w:rPr>
        <w:t>；</w:t>
      </w:r>
    </w:p>
    <w:p w14:paraId="758ECD17">
      <w:pPr>
        <w:pStyle w:val="12"/>
        <w:numPr>
          <w:ilvl w:val="0"/>
          <w:numId w:val="21"/>
        </w:numPr>
        <w:adjustRightInd w:val="0"/>
        <w:snapToGrid w:val="0"/>
        <w:ind w:firstLineChars="0"/>
        <w:rPr>
          <w:rFonts w:hint="eastAsia" w:ascii="微软雅黑" w:hAnsi="微软雅黑" w:eastAsia="微软雅黑"/>
          <w:szCs w:val="21"/>
        </w:rPr>
      </w:pPr>
      <w:bookmarkStart w:id="8" w:name="_Hlk117108256"/>
      <w:r>
        <w:rPr>
          <w:rFonts w:hint="eastAsia" w:ascii="微软雅黑" w:hAnsi="微软雅黑" w:eastAsia="微软雅黑"/>
          <w:szCs w:val="21"/>
        </w:rPr>
        <w:t>重大疾病住院护工</w:t>
      </w:r>
      <w:bookmarkEnd w:id="8"/>
      <w:r>
        <w:rPr>
          <w:rFonts w:hint="eastAsia" w:ascii="微软雅黑" w:hAnsi="微软雅黑" w:eastAsia="微软雅黑"/>
          <w:szCs w:val="21"/>
        </w:rPr>
        <w:t>授权申请及材料审核通过后，保险人</w:t>
      </w:r>
      <w:r>
        <w:rPr>
          <w:rFonts w:hint="eastAsia" w:ascii="微软雅黑" w:hAnsi="微软雅黑" w:eastAsia="微软雅黑" w:cs="微软雅黑"/>
          <w:color w:val="000000"/>
          <w:szCs w:val="21"/>
        </w:rPr>
        <w:t>指定或认可的医疗服务机构向</w:t>
      </w:r>
      <w:r>
        <w:rPr>
          <w:rFonts w:hint="eastAsia" w:ascii="微软雅黑" w:hAnsi="微软雅黑" w:eastAsia="微软雅黑"/>
          <w:szCs w:val="21"/>
        </w:rPr>
        <w:t>被保险人提供重大疾病住院护工服务，本责任的赔付费用由保险人与保险人指定或认可的医疗服务机构直接结算，本责任不接受投被保人自主申请理赔。</w:t>
      </w:r>
    </w:p>
    <w:p w14:paraId="025EE245">
      <w:pPr>
        <w:pStyle w:val="12"/>
        <w:numPr>
          <w:ilvl w:val="0"/>
          <w:numId w:val="21"/>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特别提示：</w:t>
      </w:r>
      <w:r>
        <w:rPr>
          <w:rFonts w:hint="eastAsia" w:ascii="微软雅黑" w:hAnsi="微软雅黑" w:eastAsia="微软雅黑"/>
          <w:szCs w:val="21"/>
        </w:rPr>
        <w:t>本项费用包含重大疾病住院护工服务，限被保险人本人且应在等待期后的保险期限内使用。若需使用该服务，请致电服务电话：952299或1010-9955。</w:t>
      </w:r>
    </w:p>
    <w:p w14:paraId="0D1B2EBC">
      <w:pPr>
        <w:pStyle w:val="12"/>
        <w:numPr>
          <w:ilvl w:val="0"/>
          <w:numId w:val="7"/>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本产品国内医疗总保额为600万元。</w:t>
      </w:r>
    </w:p>
    <w:p w14:paraId="66DCA894">
      <w:pPr>
        <w:pStyle w:val="12"/>
        <w:numPr>
          <w:ilvl w:val="0"/>
          <w:numId w:val="6"/>
        </w:numPr>
        <w:adjustRightInd w:val="0"/>
        <w:snapToGrid w:val="0"/>
        <w:spacing w:before="62" w:beforeLines="20"/>
        <w:ind w:firstLineChars="0"/>
        <w:outlineLvl w:val="1"/>
        <w:rPr>
          <w:rFonts w:hint="eastAsia" w:ascii="微软雅黑" w:hAnsi="微软雅黑" w:eastAsia="微软雅黑"/>
          <w:b/>
          <w:bCs/>
          <w:szCs w:val="21"/>
        </w:rPr>
      </w:pPr>
      <w:r>
        <w:rPr>
          <w:rFonts w:hint="eastAsia" w:ascii="微软雅黑" w:hAnsi="微软雅黑" w:eastAsia="微软雅黑"/>
          <w:b/>
          <w:bCs/>
          <w:szCs w:val="21"/>
        </w:rPr>
        <w:t>若您购买尊享家庭共享免赔额加油包将包含第</w:t>
      </w:r>
      <w:r>
        <w:rPr>
          <w:rFonts w:hint="eastAsia" w:ascii="微软雅黑" w:hAnsi="微软雅黑" w:eastAsia="微软雅黑"/>
          <w:b/>
          <w:bCs/>
          <w:szCs w:val="21"/>
          <w:lang w:val="en-US" w:eastAsia="zh-CN"/>
        </w:rPr>
        <w:t>10</w:t>
      </w:r>
      <w:r>
        <w:rPr>
          <w:rFonts w:hint="eastAsia" w:ascii="微软雅黑" w:hAnsi="微软雅黑" w:eastAsia="微软雅黑"/>
          <w:b/>
          <w:bCs/>
          <w:szCs w:val="21"/>
        </w:rPr>
        <w:t>条：</w:t>
      </w:r>
    </w:p>
    <w:p w14:paraId="3A3C3523">
      <w:pPr>
        <w:pStyle w:val="12"/>
        <w:numPr>
          <w:ilvl w:val="0"/>
          <w:numId w:val="7"/>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家庭共享免赔额责任：</w:t>
      </w:r>
      <w:r>
        <w:rPr>
          <w:rFonts w:hint="eastAsia" w:ascii="微软雅黑" w:hAnsi="微软雅黑" w:eastAsia="微软雅黑"/>
          <w:szCs w:val="21"/>
        </w:rPr>
        <w:t>同一投保人在同一订单内的被保险人，针对一般医疗及外购药械费用医疗保险金共享年免赔额1万元，</w:t>
      </w:r>
      <w:r>
        <w:rPr>
          <w:rFonts w:hint="eastAsia" w:ascii="微软雅黑" w:hAnsi="微软雅黑" w:eastAsia="微软雅黑"/>
          <w:b/>
          <w:bCs/>
          <w:szCs w:val="21"/>
        </w:rPr>
        <w:t>但一般门急诊医疗及外购药械费用医疗保险金不在此共享年免赔额累计的范围内。</w:t>
      </w:r>
    </w:p>
    <w:p w14:paraId="32CF422D">
      <w:pPr>
        <w:pStyle w:val="12"/>
        <w:numPr>
          <w:ilvl w:val="0"/>
          <w:numId w:val="6"/>
        </w:numPr>
        <w:adjustRightInd w:val="0"/>
        <w:snapToGrid w:val="0"/>
        <w:spacing w:before="62" w:beforeLines="20"/>
        <w:ind w:firstLineChars="0"/>
        <w:outlineLvl w:val="1"/>
        <w:rPr>
          <w:rFonts w:hint="eastAsia" w:ascii="微软雅黑" w:hAnsi="微软雅黑" w:eastAsia="微软雅黑"/>
          <w:szCs w:val="21"/>
        </w:rPr>
      </w:pPr>
      <w:r>
        <w:rPr>
          <w:rFonts w:hint="eastAsia" w:ascii="微软雅黑" w:hAnsi="微软雅黑" w:eastAsia="微软雅黑"/>
          <w:b/>
          <w:bCs/>
          <w:szCs w:val="21"/>
        </w:rPr>
        <w:t>若您购买尊享重疾关爱加油包将包含第</w:t>
      </w:r>
      <w:r>
        <w:rPr>
          <w:rFonts w:ascii="微软雅黑" w:hAnsi="微软雅黑" w:eastAsia="微软雅黑"/>
          <w:b/>
          <w:bCs/>
          <w:szCs w:val="21"/>
        </w:rPr>
        <w:t>1</w:t>
      </w:r>
      <w:r>
        <w:rPr>
          <w:rFonts w:hint="eastAsia" w:ascii="微软雅黑" w:hAnsi="微软雅黑" w:eastAsia="微软雅黑"/>
          <w:b/>
          <w:bCs/>
          <w:szCs w:val="21"/>
          <w:lang w:val="en-US" w:eastAsia="zh-CN"/>
        </w:rPr>
        <w:t>1</w:t>
      </w:r>
      <w:r>
        <w:rPr>
          <w:rFonts w:hint="eastAsia" w:ascii="微软雅黑" w:hAnsi="微软雅黑" w:eastAsia="微软雅黑"/>
          <w:b/>
          <w:bCs/>
          <w:szCs w:val="21"/>
        </w:rPr>
        <w:t>条：</w:t>
      </w:r>
    </w:p>
    <w:p w14:paraId="542A969B">
      <w:pPr>
        <w:pStyle w:val="12"/>
        <w:numPr>
          <w:ilvl w:val="0"/>
          <w:numId w:val="7"/>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重大疾病责任：</w:t>
      </w:r>
      <w:r>
        <w:rPr>
          <w:rFonts w:hint="eastAsia" w:ascii="微软雅黑" w:hAnsi="微软雅黑" w:eastAsia="微软雅黑"/>
          <w:szCs w:val="21"/>
        </w:rPr>
        <w:t>在保险期间内，被保险人因遭受意外伤害事故导致罹患或在等待期30天后初次确诊罹患本产品定义的</w:t>
      </w:r>
      <w:r>
        <w:rPr>
          <w:rFonts w:ascii="微软雅黑" w:hAnsi="微软雅黑" w:eastAsia="微软雅黑"/>
          <w:szCs w:val="21"/>
        </w:rPr>
        <w:t>100</w:t>
      </w:r>
      <w:r>
        <w:rPr>
          <w:rFonts w:hint="eastAsia" w:ascii="微软雅黑" w:hAnsi="微软雅黑" w:eastAsia="微软雅黑"/>
          <w:szCs w:val="21"/>
        </w:rPr>
        <w:t>种重大疾病，本产品给付5万元重大疾病保险金。</w:t>
      </w:r>
    </w:p>
    <w:p w14:paraId="00E0A57C">
      <w:pPr>
        <w:pStyle w:val="12"/>
        <w:numPr>
          <w:ilvl w:val="0"/>
          <w:numId w:val="6"/>
        </w:numPr>
        <w:adjustRightInd w:val="0"/>
        <w:snapToGrid w:val="0"/>
        <w:spacing w:before="62" w:beforeLines="20"/>
        <w:ind w:firstLineChars="0"/>
        <w:outlineLvl w:val="1"/>
        <w:rPr>
          <w:rFonts w:hint="eastAsia" w:ascii="微软雅黑" w:hAnsi="微软雅黑" w:eastAsia="微软雅黑"/>
          <w:szCs w:val="21"/>
        </w:rPr>
      </w:pPr>
      <w:r>
        <w:rPr>
          <w:rFonts w:hint="eastAsia" w:ascii="微软雅黑" w:hAnsi="微软雅黑" w:eastAsia="微软雅黑"/>
          <w:b/>
          <w:bCs/>
          <w:szCs w:val="21"/>
        </w:rPr>
        <w:t>若您购买尊享重大疾病扩展特需医疗加油包将包含第</w:t>
      </w:r>
      <w:r>
        <w:rPr>
          <w:rFonts w:ascii="微软雅黑" w:hAnsi="微软雅黑" w:eastAsia="微软雅黑"/>
          <w:b/>
          <w:bCs/>
          <w:szCs w:val="21"/>
        </w:rPr>
        <w:t>1</w:t>
      </w:r>
      <w:r>
        <w:rPr>
          <w:rFonts w:hint="eastAsia" w:ascii="微软雅黑" w:hAnsi="微软雅黑" w:eastAsia="微软雅黑"/>
          <w:b/>
          <w:bCs/>
          <w:szCs w:val="21"/>
          <w:lang w:val="en-US" w:eastAsia="zh-CN"/>
        </w:rPr>
        <w:t>2</w:t>
      </w:r>
      <w:r>
        <w:rPr>
          <w:rFonts w:hint="eastAsia" w:ascii="微软雅黑" w:hAnsi="微软雅黑" w:eastAsia="微软雅黑"/>
          <w:b/>
          <w:bCs/>
          <w:szCs w:val="21"/>
        </w:rPr>
        <w:t>条：</w:t>
      </w:r>
    </w:p>
    <w:p w14:paraId="45392C1C">
      <w:pPr>
        <w:pStyle w:val="12"/>
        <w:numPr>
          <w:ilvl w:val="0"/>
          <w:numId w:val="7"/>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重大疾病扩展特需医疗责任</w:t>
      </w:r>
    </w:p>
    <w:p w14:paraId="3D5E1281">
      <w:pPr>
        <w:pStyle w:val="12"/>
        <w:numPr>
          <w:ilvl w:val="0"/>
          <w:numId w:val="22"/>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在保险期间内，被保险人因遭受意外伤害事故导致罹患或在等待期30天后经中华人民共和国卫生部门审核认定的二级及二级以上的公立医院及本保单约定的指定民营医疗机构初次确诊罹患本产品定义的重大疾病；</w:t>
      </w:r>
    </w:p>
    <w:p w14:paraId="5CF8A61E">
      <w:pPr>
        <w:pStyle w:val="12"/>
        <w:numPr>
          <w:ilvl w:val="0"/>
          <w:numId w:val="22"/>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中华人民共和国卫生部门审核认定的二级及二级以上的公立医院及本保单约定的指定民营医疗机构特需医疗部、国际部、VIP部（不包括观察室、联合病房和康复病房）接受治疗的，本产品承担必需且合理的住院医疗费用、住院前30日（含住院当日）和出院后30日（含出院当日）的门急诊医疗费用 （与该次住院原因相同）、门诊手术医疗费用和特殊门诊医疗费用；无论是否以基本医疗保险身份就诊，按100%的赔付比例给付本项保险金，年累计给付以</w:t>
      </w:r>
      <w:r>
        <w:rPr>
          <w:rFonts w:ascii="微软雅黑" w:hAnsi="微软雅黑" w:eastAsia="微软雅黑"/>
          <w:szCs w:val="21"/>
        </w:rPr>
        <w:t>3</w:t>
      </w:r>
      <w:r>
        <w:rPr>
          <w:rFonts w:hint="eastAsia" w:ascii="微软雅黑" w:hAnsi="微软雅黑" w:eastAsia="微软雅黑"/>
          <w:szCs w:val="21"/>
        </w:rPr>
        <w:t>00万元为限；</w:t>
      </w:r>
    </w:p>
    <w:p w14:paraId="4A09C323">
      <w:pPr>
        <w:pStyle w:val="12"/>
        <w:numPr>
          <w:ilvl w:val="0"/>
          <w:numId w:val="22"/>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床位费限1500元/天（不包括单人病房、套房、家庭病床）。</w:t>
      </w:r>
    </w:p>
    <w:p w14:paraId="738FE151">
      <w:pPr>
        <w:pStyle w:val="12"/>
        <w:numPr>
          <w:ilvl w:val="0"/>
          <w:numId w:val="22"/>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重大疾病护工费用责任（如有）可额外扩展至中华人民共和国卫生部门审核认定二级及二级以上的公立医院及本保单约定的指定民营医疗机构特需部、国际部、VIP部（不包括观察室、联合病房和康复病房）。</w:t>
      </w:r>
    </w:p>
    <w:p w14:paraId="7E62E223">
      <w:pPr>
        <w:pStyle w:val="12"/>
        <w:numPr>
          <w:ilvl w:val="0"/>
          <w:numId w:val="6"/>
        </w:numPr>
        <w:adjustRightInd w:val="0"/>
        <w:snapToGrid w:val="0"/>
        <w:spacing w:before="62" w:beforeLines="20"/>
        <w:ind w:firstLineChars="0"/>
        <w:outlineLvl w:val="1"/>
        <w:rPr>
          <w:rFonts w:hint="eastAsia" w:ascii="微软雅黑" w:hAnsi="微软雅黑" w:eastAsia="微软雅黑"/>
          <w:szCs w:val="21"/>
        </w:rPr>
      </w:pPr>
      <w:r>
        <w:rPr>
          <w:rFonts w:hint="eastAsia" w:ascii="微软雅黑" w:hAnsi="微软雅黑" w:eastAsia="微软雅黑"/>
          <w:b/>
          <w:bCs/>
          <w:szCs w:val="21"/>
        </w:rPr>
        <w:t>若您购买尊享住院医疗费用补偿加油包将包含第</w:t>
      </w:r>
      <w:r>
        <w:rPr>
          <w:rFonts w:ascii="微软雅黑" w:hAnsi="微软雅黑" w:eastAsia="微软雅黑"/>
          <w:b/>
          <w:bCs/>
          <w:szCs w:val="21"/>
        </w:rPr>
        <w:t>1</w:t>
      </w:r>
      <w:r>
        <w:rPr>
          <w:rFonts w:hint="eastAsia" w:ascii="微软雅黑" w:hAnsi="微软雅黑" w:eastAsia="微软雅黑"/>
          <w:b/>
          <w:bCs/>
          <w:szCs w:val="21"/>
          <w:lang w:val="en-US" w:eastAsia="zh-CN"/>
        </w:rPr>
        <w:t>3</w:t>
      </w:r>
      <w:r>
        <w:rPr>
          <w:rFonts w:hint="eastAsia" w:ascii="微软雅黑" w:hAnsi="微软雅黑" w:eastAsia="微软雅黑"/>
          <w:b/>
          <w:bCs/>
          <w:szCs w:val="21"/>
        </w:rPr>
        <w:t>条：</w:t>
      </w:r>
    </w:p>
    <w:p w14:paraId="328A52ED">
      <w:pPr>
        <w:pStyle w:val="12"/>
        <w:numPr>
          <w:ilvl w:val="0"/>
          <w:numId w:val="7"/>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cs="微软雅黑"/>
          <w:b/>
          <w:bCs/>
          <w:color w:val="000000"/>
          <w:szCs w:val="21"/>
        </w:rPr>
        <w:t>住院医疗费用补偿责任</w:t>
      </w:r>
    </w:p>
    <w:p w14:paraId="7F9C0B76">
      <w:pPr>
        <w:pStyle w:val="12"/>
        <w:numPr>
          <w:ilvl w:val="0"/>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在保险期间内，被保险人因遭受意外伤害事故或在等待期</w:t>
      </w:r>
      <w:r>
        <w:rPr>
          <w:rFonts w:ascii="微软雅黑" w:hAnsi="微软雅黑" w:eastAsia="微软雅黑"/>
          <w:szCs w:val="21"/>
        </w:rPr>
        <w:t>3</w:t>
      </w:r>
      <w:r>
        <w:rPr>
          <w:rFonts w:hint="eastAsia" w:ascii="微软雅黑" w:hAnsi="微软雅黑" w:eastAsia="微软雅黑"/>
          <w:szCs w:val="21"/>
        </w:rPr>
        <w:t>0天后因罹患疾病；</w:t>
      </w:r>
    </w:p>
    <w:p w14:paraId="1C76EA03">
      <w:pPr>
        <w:pStyle w:val="12"/>
        <w:numPr>
          <w:ilvl w:val="0"/>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在经中华人民共和国卫生部门审核认定的二级及二级以上的公立医院普通部及本保单约定的指定民营医疗机构发生的，需个人支付的、必需且合理的一般医疗及外购药械费用医疗费用；</w:t>
      </w:r>
    </w:p>
    <w:p w14:paraId="6154EF54">
      <w:pPr>
        <w:pStyle w:val="12"/>
        <w:numPr>
          <w:ilvl w:val="0"/>
          <w:numId w:val="23"/>
        </w:numPr>
        <w:adjustRightInd w:val="0"/>
        <w:snapToGrid w:val="0"/>
        <w:ind w:firstLineChars="0"/>
        <w:rPr>
          <w:rFonts w:hint="eastAsia" w:ascii="微软雅黑" w:hAnsi="微软雅黑" w:eastAsia="微软雅黑"/>
          <w:szCs w:val="21"/>
        </w:rPr>
      </w:pPr>
      <w:bookmarkStart w:id="9" w:name="_Hlk117507503"/>
      <w:r>
        <w:rPr>
          <w:rFonts w:hint="eastAsia" w:ascii="微软雅黑" w:hAnsi="微软雅黑" w:eastAsia="微软雅黑"/>
          <w:szCs w:val="21"/>
        </w:rPr>
        <w:t>保险人按100%的赔付比例给付本项保险金，年累计给付以</w:t>
      </w:r>
      <w:r>
        <w:rPr>
          <w:rFonts w:ascii="微软雅黑" w:hAnsi="微软雅黑" w:eastAsia="微软雅黑"/>
          <w:szCs w:val="21"/>
        </w:rPr>
        <w:t>1</w:t>
      </w:r>
      <w:r>
        <w:rPr>
          <w:rFonts w:hint="eastAsia" w:ascii="微软雅黑" w:hAnsi="微软雅黑" w:eastAsia="微软雅黑"/>
          <w:szCs w:val="21"/>
        </w:rPr>
        <w:t>万元为限；</w:t>
      </w:r>
    </w:p>
    <w:p w14:paraId="5CAA62BA">
      <w:pPr>
        <w:pStyle w:val="12"/>
        <w:numPr>
          <w:ilvl w:val="0"/>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以有基本医疗保险或公费医疗身份参保，但未以基本医疗保险或公费医疗身份就诊并结算的，则赔付比例调整为60%；</w:t>
      </w:r>
    </w:p>
    <w:bookmarkEnd w:id="9"/>
    <w:p w14:paraId="2FA6C77F">
      <w:pPr>
        <w:pStyle w:val="12"/>
        <w:numPr>
          <w:ilvl w:val="0"/>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治疗疾病含以下所列疾病的一种或多种的，赔付比例为20%：痔疮、女性生殖系统疾病(即女性子宫、输卵管、卵巢、阴道、外阴器官疾病)、结节（包括炎症性、增生性、肿瘤）、息肉(包括炎症性、增生性、肿瘤）、囊肿、增生；</w:t>
      </w:r>
    </w:p>
    <w:p w14:paraId="2C402A0E">
      <w:pPr>
        <w:pStyle w:val="12"/>
        <w:numPr>
          <w:ilvl w:val="0"/>
          <w:numId w:val="2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本责任不承担任何脊椎疾病（包括但不限于各种颈椎病、腰椎间盘突出/膨出/移位/滑脱）治疗产生的医疗费用。</w:t>
      </w:r>
    </w:p>
    <w:p w14:paraId="69B570C3">
      <w:pPr>
        <w:pStyle w:val="12"/>
        <w:numPr>
          <w:ilvl w:val="0"/>
          <w:numId w:val="6"/>
        </w:numPr>
        <w:adjustRightInd w:val="0"/>
        <w:snapToGrid w:val="0"/>
        <w:spacing w:before="62" w:beforeLines="20"/>
        <w:ind w:firstLineChars="0"/>
        <w:outlineLvl w:val="1"/>
        <w:rPr>
          <w:rFonts w:hint="eastAsia" w:ascii="微软雅黑" w:hAnsi="微软雅黑" w:eastAsia="微软雅黑"/>
          <w:b/>
          <w:bCs/>
          <w:szCs w:val="21"/>
        </w:rPr>
      </w:pPr>
      <w:r>
        <w:rPr>
          <w:rFonts w:hint="eastAsia" w:ascii="微软雅黑" w:hAnsi="微软雅黑" w:eastAsia="微软雅黑"/>
          <w:b/>
          <w:bCs/>
          <w:szCs w:val="21"/>
        </w:rPr>
        <w:t>若您购买尊享住院津贴加油包将包含第1</w:t>
      </w:r>
      <w:r>
        <w:rPr>
          <w:rFonts w:hint="eastAsia" w:ascii="微软雅黑" w:hAnsi="微软雅黑" w:eastAsia="微软雅黑"/>
          <w:b/>
          <w:bCs/>
          <w:szCs w:val="21"/>
          <w:lang w:val="en-US" w:eastAsia="zh-CN"/>
        </w:rPr>
        <w:t>4</w:t>
      </w:r>
      <w:r>
        <w:rPr>
          <w:rFonts w:hint="eastAsia" w:ascii="微软雅黑" w:hAnsi="微软雅黑" w:eastAsia="微软雅黑"/>
          <w:b/>
          <w:bCs/>
          <w:szCs w:val="21"/>
        </w:rPr>
        <w:t>条至第1</w:t>
      </w:r>
      <w:r>
        <w:rPr>
          <w:rFonts w:hint="eastAsia" w:ascii="微软雅黑" w:hAnsi="微软雅黑" w:eastAsia="微软雅黑"/>
          <w:b/>
          <w:bCs/>
          <w:szCs w:val="21"/>
          <w:lang w:val="en-US" w:eastAsia="zh-CN"/>
        </w:rPr>
        <w:t>5</w:t>
      </w:r>
      <w:r>
        <w:rPr>
          <w:rFonts w:hint="eastAsia" w:ascii="微软雅黑" w:hAnsi="微软雅黑" w:eastAsia="微软雅黑"/>
          <w:b/>
          <w:bCs/>
          <w:szCs w:val="21"/>
        </w:rPr>
        <w:t>条：</w:t>
      </w:r>
    </w:p>
    <w:p w14:paraId="49A4C027">
      <w:pPr>
        <w:pStyle w:val="12"/>
        <w:numPr>
          <w:ilvl w:val="0"/>
          <w:numId w:val="7"/>
        </w:numPr>
        <w:adjustRightInd w:val="0"/>
        <w:snapToGrid w:val="0"/>
        <w:spacing w:before="62" w:beforeLines="20"/>
        <w:ind w:firstLineChars="0"/>
        <w:rPr>
          <w:rFonts w:hint="eastAsia" w:ascii="微软雅黑" w:hAnsi="微软雅黑" w:eastAsia="微软雅黑" w:cs="微软雅黑"/>
          <w:b/>
          <w:bCs/>
          <w:color w:val="000000"/>
          <w:szCs w:val="21"/>
        </w:rPr>
      </w:pPr>
      <w:r>
        <w:rPr>
          <w:rFonts w:hint="eastAsia" w:ascii="微软雅黑" w:hAnsi="微软雅黑" w:eastAsia="微软雅黑" w:cs="微软雅黑"/>
          <w:b/>
          <w:bCs/>
          <w:color w:val="000000"/>
          <w:szCs w:val="21"/>
        </w:rPr>
        <w:t>一般住院津贴责任</w:t>
      </w:r>
    </w:p>
    <w:p w14:paraId="111CA62A">
      <w:pPr>
        <w:pStyle w:val="12"/>
        <w:numPr>
          <w:ilvl w:val="0"/>
          <w:numId w:val="2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因遭受意外伤害事故或在等待期30天后因患疾病，在经中华人民共和国卫生部门审核认定的二级及二级以上的公立医院普通部及本保单约定的指定民营医疗机构接受住院治疗的，保险人按被保险人每次实际住院天数扣除每次住院免赔天数后乘以本附加合同约定的一般住院日津贴额向被保险人给付一般住院津贴保险金；</w:t>
      </w:r>
    </w:p>
    <w:p w14:paraId="341BD95E">
      <w:pPr>
        <w:pStyle w:val="12"/>
        <w:numPr>
          <w:ilvl w:val="0"/>
          <w:numId w:val="24"/>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一般住院津贴日津贴额100元/日，次免赔天数为3天；对同一被保险人在同一保险期间内一次住院的累计给付天数以30天为限，多次住院的累计给付天数以60天为限；若被保险人本次住院治疗与前次住院原因相同，并且前次出院与本次入院间隔不超过30日的，则本次住院与前次住院视为同一次住院；</w:t>
      </w:r>
    </w:p>
    <w:p w14:paraId="66C06C38">
      <w:pPr>
        <w:pStyle w:val="12"/>
        <w:numPr>
          <w:ilvl w:val="0"/>
          <w:numId w:val="7"/>
        </w:numPr>
        <w:adjustRightInd w:val="0"/>
        <w:snapToGrid w:val="0"/>
        <w:spacing w:before="62" w:beforeLines="20"/>
        <w:ind w:firstLineChars="0"/>
        <w:rPr>
          <w:rFonts w:hint="eastAsia" w:ascii="微软雅黑" w:hAnsi="微软雅黑" w:eastAsia="微软雅黑" w:cs="微软雅黑"/>
          <w:b/>
          <w:bCs/>
          <w:color w:val="000000"/>
          <w:szCs w:val="21"/>
        </w:rPr>
      </w:pPr>
      <w:r>
        <w:rPr>
          <w:rFonts w:hint="eastAsia" w:ascii="微软雅黑" w:hAnsi="微软雅黑" w:eastAsia="微软雅黑" w:cs="微软雅黑"/>
          <w:b/>
          <w:bCs/>
          <w:color w:val="000000"/>
          <w:szCs w:val="21"/>
        </w:rPr>
        <w:t>ICU重症监护病房住院津贴责任</w:t>
      </w:r>
    </w:p>
    <w:p w14:paraId="4432DC10">
      <w:pPr>
        <w:pStyle w:val="12"/>
        <w:numPr>
          <w:ilvl w:val="0"/>
          <w:numId w:val="2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因遭受意外伤害事故或在等待期30天后因患疾病，在经中华人民共和国卫生部门审核认定的二级及二级以上的公立医院及本保单约定的指定民营医疗机构普通部的ICU重症监护病房进行住院治疗的，保险人按被保险人每次在ICU重症监护病房实际住院天数扣除每次ICU重症监护病房住院免赔天数后乘以本附加合同约定的ICU重症监护病房住院日津贴额向被保险人给付ICU重症监护病房住院津贴保险金；</w:t>
      </w:r>
    </w:p>
    <w:p w14:paraId="574A8045">
      <w:pPr>
        <w:pStyle w:val="12"/>
        <w:numPr>
          <w:ilvl w:val="0"/>
          <w:numId w:val="25"/>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ICU重症监护病房住院津贴日津贴额500元/日，次免赔天数为0天；对同一被保险人在同一保险期间内一次住院的累计给付天数以30天为限，多次住院的累计给付天数以60天为限；若被保险人本次住院治疗与前次住院原因相同，并且前次出院与本次入院间隔不超过30日的，则本次住院与前次住院视为同一次住院；</w:t>
      </w:r>
    </w:p>
    <w:p w14:paraId="5CC72A21">
      <w:pPr>
        <w:pStyle w:val="12"/>
        <w:numPr>
          <w:ilvl w:val="0"/>
          <w:numId w:val="25"/>
        </w:numPr>
        <w:adjustRightInd w:val="0"/>
        <w:snapToGrid w:val="0"/>
        <w:ind w:firstLineChars="0"/>
        <w:rPr>
          <w:rFonts w:hint="eastAsia" w:ascii="微软雅黑" w:hAnsi="微软雅黑" w:eastAsia="微软雅黑"/>
          <w:b/>
          <w:bCs/>
          <w:szCs w:val="21"/>
        </w:rPr>
      </w:pPr>
      <w:r>
        <w:rPr>
          <w:rFonts w:hint="eastAsia" w:ascii="微软雅黑" w:hAnsi="微软雅黑" w:eastAsia="微软雅黑"/>
          <w:b/>
          <w:bCs/>
          <w:szCs w:val="21"/>
        </w:rPr>
        <w:t>特别提示：本责任可与一般住院津贴责任叠加赔付。</w:t>
      </w:r>
    </w:p>
    <w:p w14:paraId="48A66886">
      <w:pPr>
        <w:pStyle w:val="12"/>
        <w:numPr>
          <w:ilvl w:val="0"/>
          <w:numId w:val="6"/>
        </w:numPr>
        <w:adjustRightInd w:val="0"/>
        <w:snapToGrid w:val="0"/>
        <w:spacing w:before="62" w:beforeLines="20"/>
        <w:ind w:firstLineChars="0"/>
        <w:outlineLvl w:val="1"/>
        <w:rPr>
          <w:rFonts w:hint="eastAsia" w:ascii="微软雅黑" w:hAnsi="微软雅黑" w:eastAsia="微软雅黑"/>
          <w:b/>
          <w:bCs/>
          <w:szCs w:val="21"/>
        </w:rPr>
      </w:pPr>
      <w:r>
        <w:rPr>
          <w:rFonts w:hint="eastAsia" w:ascii="微软雅黑" w:hAnsi="微软雅黑" w:eastAsia="微软雅黑"/>
          <w:b/>
          <w:bCs/>
          <w:szCs w:val="21"/>
        </w:rPr>
        <w:t>若您购买尊享药省保加油包将包含第1</w:t>
      </w:r>
      <w:r>
        <w:rPr>
          <w:rFonts w:hint="eastAsia" w:ascii="微软雅黑" w:hAnsi="微软雅黑" w:eastAsia="微软雅黑"/>
          <w:b/>
          <w:bCs/>
          <w:szCs w:val="21"/>
          <w:lang w:val="en-US" w:eastAsia="zh-CN"/>
        </w:rPr>
        <w:t>6</w:t>
      </w:r>
      <w:r>
        <w:rPr>
          <w:rFonts w:hint="eastAsia" w:ascii="微软雅黑" w:hAnsi="微软雅黑" w:eastAsia="微软雅黑"/>
          <w:b/>
          <w:bCs/>
          <w:szCs w:val="21"/>
        </w:rPr>
        <w:t>条：</w:t>
      </w:r>
    </w:p>
    <w:p w14:paraId="194C4E71">
      <w:pPr>
        <w:pStyle w:val="12"/>
        <w:numPr>
          <w:ilvl w:val="0"/>
          <w:numId w:val="7"/>
        </w:numPr>
        <w:adjustRightInd w:val="0"/>
        <w:snapToGrid w:val="0"/>
        <w:spacing w:before="62" w:beforeLines="20"/>
        <w:ind w:firstLineChars="0"/>
        <w:rPr>
          <w:rFonts w:hint="eastAsia" w:ascii="微软雅黑" w:hAnsi="微软雅黑" w:eastAsia="微软雅黑" w:cs="微软雅黑"/>
          <w:b/>
          <w:bCs/>
          <w:color w:val="000000"/>
          <w:szCs w:val="21"/>
        </w:rPr>
      </w:pPr>
      <w:r>
        <w:rPr>
          <w:rFonts w:hint="eastAsia" w:ascii="微软雅黑" w:hAnsi="微软雅黑" w:eastAsia="微软雅黑" w:cs="微软雅黑"/>
          <w:b/>
          <w:bCs/>
          <w:color w:val="000000"/>
          <w:szCs w:val="21"/>
        </w:rPr>
        <w:t>互联网药品费用医疗责任</w:t>
      </w:r>
    </w:p>
    <w:p w14:paraId="4B03E7F4">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在保险期间内，被保险人在等待期7天后因遭受意外伤害事故或罹患疾病；</w:t>
      </w:r>
    </w:p>
    <w:p w14:paraId="6FE65A6C">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在保险人认可的互联网药店内所产生的药品费用，保险人按照</w:t>
      </w:r>
      <w:r>
        <w:rPr>
          <w:rFonts w:hint="eastAsia" w:ascii="微软雅黑" w:hAnsi="微软雅黑" w:eastAsia="微软雅黑"/>
          <w:b/>
          <w:bCs/>
          <w:szCs w:val="21"/>
        </w:rPr>
        <w:t>50%赔付比例</w:t>
      </w:r>
      <w:r>
        <w:rPr>
          <w:rFonts w:hint="eastAsia" w:ascii="微软雅黑" w:hAnsi="微软雅黑" w:eastAsia="微软雅黑"/>
          <w:szCs w:val="21"/>
        </w:rPr>
        <w:t>给付互联网药品费用医疗保险金（即保障范围内50%的药品费用由众安保险直付给指定互联网药店，您需要支付剩余的50%）；</w:t>
      </w:r>
    </w:p>
    <w:p w14:paraId="7327D8D1">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b/>
          <w:bCs/>
          <w:szCs w:val="21"/>
        </w:rPr>
        <w:t>月赔付限额100元，年累计给付以1000元为限</w:t>
      </w:r>
      <w:r>
        <w:rPr>
          <w:rFonts w:hint="eastAsia" w:ascii="微软雅黑" w:hAnsi="微软雅黑" w:eastAsia="微软雅黑"/>
          <w:szCs w:val="21"/>
        </w:rPr>
        <w:t>；</w:t>
      </w:r>
    </w:p>
    <w:p w14:paraId="5AB5C63B">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6周岁（含）以下被保险人无法开具处方药品；</w:t>
      </w:r>
    </w:p>
    <w:p w14:paraId="0A82AC77">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药品运送过程中产品的</w:t>
      </w:r>
      <w:r>
        <w:rPr>
          <w:rFonts w:hint="eastAsia" w:ascii="微软雅黑" w:hAnsi="微软雅黑" w:eastAsia="微软雅黑"/>
          <w:b/>
          <w:bCs/>
          <w:szCs w:val="21"/>
        </w:rPr>
        <w:t>配送费用，需由客户自行承担</w:t>
      </w:r>
      <w:r>
        <w:rPr>
          <w:rFonts w:hint="eastAsia" w:ascii="微软雅黑" w:hAnsi="微软雅黑" w:eastAsia="微软雅黑"/>
          <w:szCs w:val="21"/>
        </w:rPr>
        <w:t>；</w:t>
      </w:r>
    </w:p>
    <w:p w14:paraId="2B38CFF6">
      <w:pPr>
        <w:pStyle w:val="12"/>
        <w:numPr>
          <w:ilvl w:val="0"/>
          <w:numId w:val="26"/>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根据《药品经营质量管理规范》，除药品质量原因外，药品一经售出，不得退换。</w:t>
      </w:r>
    </w:p>
    <w:p w14:paraId="1FFF3494">
      <w:pPr>
        <w:pStyle w:val="12"/>
        <w:numPr>
          <w:ilvl w:val="0"/>
          <w:numId w:val="6"/>
        </w:numPr>
        <w:adjustRightInd w:val="0"/>
        <w:snapToGrid w:val="0"/>
        <w:spacing w:before="62" w:beforeLines="20"/>
        <w:ind w:firstLineChars="0"/>
        <w:outlineLvl w:val="1"/>
        <w:rPr>
          <w:rFonts w:hint="eastAsia" w:ascii="微软雅黑" w:hAnsi="微软雅黑" w:eastAsia="微软雅黑"/>
          <w:szCs w:val="21"/>
        </w:rPr>
      </w:pPr>
      <w:r>
        <w:rPr>
          <w:rFonts w:hint="eastAsia" w:ascii="微软雅黑" w:hAnsi="微软雅黑" w:eastAsia="微软雅黑"/>
          <w:b/>
          <w:bCs/>
          <w:szCs w:val="21"/>
        </w:rPr>
        <w:t>若您购买尊享门急诊医疗加油包将包含第</w:t>
      </w:r>
      <w:r>
        <w:rPr>
          <w:rFonts w:ascii="微软雅黑" w:hAnsi="微软雅黑" w:eastAsia="微软雅黑"/>
          <w:b/>
          <w:bCs/>
          <w:szCs w:val="21"/>
        </w:rPr>
        <w:t>1</w:t>
      </w:r>
      <w:r>
        <w:rPr>
          <w:rFonts w:hint="eastAsia" w:ascii="微软雅黑" w:hAnsi="微软雅黑" w:eastAsia="微软雅黑"/>
          <w:b/>
          <w:bCs/>
          <w:szCs w:val="21"/>
          <w:lang w:val="en-US" w:eastAsia="zh-CN"/>
        </w:rPr>
        <w:t>7</w:t>
      </w:r>
      <w:r>
        <w:rPr>
          <w:rFonts w:hint="eastAsia" w:ascii="微软雅黑" w:hAnsi="微软雅黑" w:eastAsia="微软雅黑"/>
          <w:b/>
          <w:bCs/>
          <w:szCs w:val="21"/>
        </w:rPr>
        <w:t>条：</w:t>
      </w:r>
    </w:p>
    <w:p w14:paraId="1C90CD69">
      <w:pPr>
        <w:pStyle w:val="12"/>
        <w:numPr>
          <w:ilvl w:val="0"/>
          <w:numId w:val="7"/>
        </w:numPr>
        <w:adjustRightInd w:val="0"/>
        <w:snapToGrid w:val="0"/>
        <w:spacing w:before="62" w:beforeLines="20"/>
        <w:ind w:firstLineChars="0"/>
        <w:rPr>
          <w:rFonts w:hint="eastAsia" w:ascii="微软雅黑" w:hAnsi="微软雅黑" w:eastAsia="微软雅黑"/>
          <w:b/>
          <w:bCs/>
          <w:szCs w:val="21"/>
        </w:rPr>
      </w:pPr>
      <w:r>
        <w:rPr>
          <w:rFonts w:hint="eastAsia" w:ascii="微软雅黑" w:hAnsi="微软雅黑" w:eastAsia="微软雅黑"/>
          <w:b/>
          <w:bCs/>
          <w:szCs w:val="21"/>
        </w:rPr>
        <w:t>门急诊医疗责任</w:t>
      </w:r>
    </w:p>
    <w:p w14:paraId="7A24FF18">
      <w:pPr>
        <w:pStyle w:val="12"/>
        <w:numPr>
          <w:ilvl w:val="0"/>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在保险期间内，被保险人因遭受意外伤害事故或在等待期30天后因患疾病；</w:t>
      </w:r>
    </w:p>
    <w:p w14:paraId="60B1AC10">
      <w:pPr>
        <w:pStyle w:val="12"/>
        <w:numPr>
          <w:ilvl w:val="0"/>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在经中华人民共和国卫生部门审核认定的二级及二级以上的公立医院及本保单约定的指定民营医疗机构普通部接受门诊或急诊治疗，对于被保险人每次实际支出的、符合当地基本医疗保险政策规定的、必需且合理的门诊或急诊医疗费用；</w:t>
      </w:r>
    </w:p>
    <w:p w14:paraId="1E7A47DC">
      <w:pPr>
        <w:pStyle w:val="12"/>
        <w:numPr>
          <w:ilvl w:val="0"/>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单次门急诊以300元为限，年累计给付以1万元为限；</w:t>
      </w:r>
    </w:p>
    <w:p w14:paraId="71E91D0C">
      <w:pPr>
        <w:pStyle w:val="12"/>
        <w:numPr>
          <w:ilvl w:val="0"/>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保险人按50%的赔付比例给付本项保险金，以有基本医疗保险或公费医疗身份参保，但未以基本医疗保险或公费医疗身份就诊并结算的，则赔付比例调整为30%；</w:t>
      </w:r>
    </w:p>
    <w:p w14:paraId="36D4B614">
      <w:pPr>
        <w:pStyle w:val="12"/>
        <w:numPr>
          <w:ilvl w:val="0"/>
          <w:numId w:val="27"/>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单次门急诊指被保险人同一天在同一医院同一科室所进行的门诊或急诊治疗。</w:t>
      </w:r>
    </w:p>
    <w:p w14:paraId="7BBAFC76">
      <w:pPr>
        <w:pStyle w:val="12"/>
        <w:adjustRightInd w:val="0"/>
        <w:snapToGrid w:val="0"/>
        <w:spacing w:before="62" w:beforeLines="20"/>
        <w:ind w:firstLine="0" w:firstLineChars="0"/>
        <w:rPr>
          <w:rFonts w:hint="eastAsia" w:ascii="微软雅黑" w:hAnsi="微软雅黑" w:eastAsia="微软雅黑"/>
          <w:b/>
          <w:bCs/>
          <w:szCs w:val="21"/>
        </w:rPr>
      </w:pPr>
    </w:p>
    <w:p w14:paraId="4F743E71">
      <w:pPr>
        <w:pStyle w:val="12"/>
        <w:numPr>
          <w:ilvl w:val="255"/>
          <w:numId w:val="0"/>
        </w:numPr>
        <w:adjustRightInd w:val="0"/>
        <w:snapToGrid w:val="0"/>
        <w:rPr>
          <w:rFonts w:hint="eastAsia" w:ascii="微软雅黑" w:hAnsi="微软雅黑" w:eastAsia="微软雅黑"/>
          <w:szCs w:val="21"/>
        </w:rPr>
      </w:pPr>
    </w:p>
    <w:p w14:paraId="398C4D64">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投被保险人要求</w:t>
      </w:r>
    </w:p>
    <w:p w14:paraId="5681D516">
      <w:pPr>
        <w:pStyle w:val="12"/>
        <w:numPr>
          <w:ilvl w:val="0"/>
          <w:numId w:val="2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投保人资格：18周岁及以上有完全民事行为能力人，并与被保险人存在可保利益；仅限在中国大陆地区有固定居所的人士投保。</w:t>
      </w:r>
    </w:p>
    <w:p w14:paraId="0782A200">
      <w:pPr>
        <w:pStyle w:val="12"/>
        <w:numPr>
          <w:ilvl w:val="0"/>
          <w:numId w:val="2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被保险人年龄：投保时年龄为出生满3</w:t>
      </w:r>
      <w:r>
        <w:rPr>
          <w:rFonts w:ascii="微软雅黑" w:hAnsi="微软雅黑" w:eastAsia="微软雅黑"/>
          <w:szCs w:val="21"/>
        </w:rPr>
        <w:t>0</w:t>
      </w:r>
      <w:r>
        <w:rPr>
          <w:rFonts w:hint="eastAsia" w:ascii="微软雅黑" w:hAnsi="微软雅黑" w:eastAsia="微软雅黑"/>
          <w:szCs w:val="21"/>
        </w:rPr>
        <w:t>天至</w:t>
      </w:r>
      <w:r>
        <w:rPr>
          <w:rFonts w:ascii="微软雅黑" w:hAnsi="微软雅黑" w:eastAsia="微软雅黑"/>
          <w:szCs w:val="21"/>
        </w:rPr>
        <w:t>70</w:t>
      </w:r>
      <w:r>
        <w:rPr>
          <w:rFonts w:hint="eastAsia" w:ascii="微软雅黑" w:hAnsi="微软雅黑" w:eastAsia="微软雅黑"/>
          <w:szCs w:val="21"/>
        </w:rPr>
        <w:t>周岁（含）。加油包中，尊享门急诊医疗加油包投保时年龄为出生满3</w:t>
      </w:r>
      <w:r>
        <w:rPr>
          <w:rFonts w:ascii="微软雅黑" w:hAnsi="微软雅黑" w:eastAsia="微软雅黑"/>
          <w:szCs w:val="21"/>
        </w:rPr>
        <w:t>0</w:t>
      </w:r>
      <w:r>
        <w:rPr>
          <w:rFonts w:hint="eastAsia" w:ascii="微软雅黑" w:hAnsi="微软雅黑" w:eastAsia="微软雅黑"/>
          <w:szCs w:val="21"/>
        </w:rPr>
        <w:t>天至</w:t>
      </w:r>
      <w:r>
        <w:rPr>
          <w:rFonts w:ascii="微软雅黑" w:hAnsi="微软雅黑" w:eastAsia="微软雅黑"/>
          <w:szCs w:val="21"/>
        </w:rPr>
        <w:t>55</w:t>
      </w:r>
      <w:r>
        <w:rPr>
          <w:rFonts w:hint="eastAsia" w:ascii="微软雅黑" w:hAnsi="微软雅黑" w:eastAsia="微软雅黑"/>
          <w:szCs w:val="21"/>
        </w:rPr>
        <w:t>周岁（含），其余加油包的首次投保年龄为出生满30天至</w:t>
      </w:r>
      <w:r>
        <w:rPr>
          <w:rFonts w:ascii="微软雅黑" w:hAnsi="微软雅黑" w:eastAsia="微软雅黑"/>
          <w:szCs w:val="21"/>
        </w:rPr>
        <w:t>7</w:t>
      </w:r>
      <w:r>
        <w:rPr>
          <w:rFonts w:hint="eastAsia" w:ascii="微软雅黑" w:hAnsi="微软雅黑" w:eastAsia="微软雅黑"/>
          <w:szCs w:val="21"/>
        </w:rPr>
        <w:t>0周岁（含）。</w:t>
      </w:r>
    </w:p>
    <w:p w14:paraId="77917FA5">
      <w:pPr>
        <w:pStyle w:val="12"/>
        <w:numPr>
          <w:ilvl w:val="0"/>
          <w:numId w:val="2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被保险人资格：被保险人须为投保人本人、配偶、子女、父母、配偶父母（经配偶父母同意）。</w:t>
      </w:r>
    </w:p>
    <w:p w14:paraId="23DACDDC">
      <w:pPr>
        <w:pStyle w:val="12"/>
        <w:numPr>
          <w:ilvl w:val="0"/>
          <w:numId w:val="28"/>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被保险人职业类别：被保险人不属于《众安保险特殊职业类别表》中的职业类别。</w:t>
      </w:r>
    </w:p>
    <w:p w14:paraId="1C184093">
      <w:pPr>
        <w:pStyle w:val="12"/>
        <w:adjustRightInd w:val="0"/>
        <w:snapToGrid w:val="0"/>
        <w:ind w:firstLine="0" w:firstLineChars="0"/>
        <w:rPr>
          <w:rFonts w:hint="eastAsia" w:ascii="微软雅黑" w:hAnsi="微软雅黑" w:eastAsiaTheme="minorEastAsia"/>
          <w:szCs w:val="21"/>
          <w:lang w:eastAsia="zh-CN"/>
        </w:rPr>
      </w:pPr>
      <w:r>
        <w:object>
          <v:shape id="_x0000_i1025" o:spt="75" type="#_x0000_t75" style="height:65.5pt;width:72.5pt;" o:ole="t" filled="f" o:preferrelative="t" stroked="f" coordsize="21600,21600">
            <v:path/>
            <v:fill on="f" focussize="0,0"/>
            <v:stroke on="f"/>
            <v:imagedata r:id="rId5" o:title=""/>
            <o:lock v:ext="edit" aspectratio="t"/>
            <w10:wrap type="none"/>
            <w10:anchorlock/>
          </v:shape>
          <o:OLEObject Type="Embed" ProgID="Package" ShapeID="_x0000_i1025" DrawAspect="Icon" ObjectID="_1468075725" r:id="rId4">
            <o:LockedField>false</o:LockedField>
          </o:OLEObject>
        </w:object>
      </w:r>
    </w:p>
    <w:p w14:paraId="41D73C8E">
      <w:pPr>
        <w:adjustRightInd w:val="0"/>
        <w:snapToGrid w:val="0"/>
        <w:rPr>
          <w:rFonts w:hint="eastAsia" w:ascii="微软雅黑" w:hAnsi="微软雅黑" w:eastAsia="微软雅黑"/>
          <w:szCs w:val="21"/>
        </w:rPr>
      </w:pPr>
    </w:p>
    <w:p w14:paraId="793AFD3B">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产品说明</w:t>
      </w:r>
    </w:p>
    <w:p w14:paraId="6711C4FB">
      <w:pPr>
        <w:pStyle w:val="12"/>
        <w:numPr>
          <w:ilvl w:val="0"/>
          <w:numId w:val="29"/>
        </w:numPr>
        <w:adjustRightInd w:val="0"/>
        <w:snapToGrid w:val="0"/>
        <w:ind w:left="0" w:firstLine="0" w:firstLineChars="0"/>
        <w:rPr>
          <w:rFonts w:hint="eastAsia" w:ascii="微软雅黑" w:hAnsi="微软雅黑" w:eastAsia="微软雅黑"/>
          <w:b/>
          <w:szCs w:val="21"/>
        </w:rPr>
      </w:pPr>
      <w:r>
        <w:rPr>
          <w:rFonts w:hint="eastAsia" w:ascii="微软雅黑" w:hAnsi="微软雅黑" w:eastAsia="微软雅黑"/>
          <w:b/>
          <w:szCs w:val="21"/>
        </w:rPr>
        <w:t>产品名称及条款：本产品名称为尊享e生·百万医疗保险2026版，</w:t>
      </w:r>
      <w:r>
        <w:rPr>
          <w:rFonts w:hint="eastAsia" w:ascii="微软雅黑" w:hAnsi="微软雅黑" w:eastAsia="微软雅黑" w:cs="微软雅黑"/>
          <w:b/>
          <w:color w:val="000000"/>
          <w:szCs w:val="21"/>
        </w:rPr>
        <w:t>请确认您已认真阅读投保须知、保障方案及</w:t>
      </w:r>
      <w:r>
        <w:rPr>
          <w:rFonts w:hint="eastAsia" w:ascii="微软雅黑" w:hAnsi="微软雅黑" w:eastAsia="微软雅黑" w:cs="微软雅黑"/>
          <w:b/>
          <w:color w:val="000000"/>
          <w:szCs w:val="21"/>
          <w:lang w:val="zh-CN"/>
        </w:rPr>
        <w:t>《众安在线财产保险股份有限公司个人医疗保险条款（互联网2025版）》(注册号：</w:t>
      </w:r>
      <w:r>
        <w:rPr>
          <w:rFonts w:hint="eastAsia" w:ascii="微软雅黑" w:hAnsi="微软雅黑" w:eastAsia="微软雅黑" w:cs="微软雅黑"/>
          <w:b/>
          <w:color w:val="000000"/>
          <w:szCs w:val="21"/>
          <w:lang w:val="en-US" w:eastAsia="zh-CN"/>
        </w:rPr>
        <w:t>C00017932512025120573893</w:t>
      </w:r>
      <w:r>
        <w:rPr>
          <w:rFonts w:hint="eastAsia" w:ascii="微软雅黑" w:hAnsi="微软雅黑" w:eastAsia="微软雅黑" w:cs="微软雅黑"/>
          <w:b/>
          <w:color w:val="000000"/>
          <w:szCs w:val="21"/>
          <w:lang w:val="zh-CN"/>
        </w:rPr>
        <w:t>）、《众安在线财产保险股份有限公司附加免赔额豁免保险条款（互联网2022版C款）》(注册号：</w:t>
      </w:r>
      <w:r>
        <w:rPr>
          <w:rFonts w:ascii="微软雅黑" w:hAnsi="微软雅黑" w:eastAsia="微软雅黑" w:cs="微软雅黑"/>
          <w:b/>
          <w:color w:val="000000"/>
          <w:szCs w:val="21"/>
          <w:lang w:val="zh-CN"/>
        </w:rPr>
        <w:t>C00017932522022111638511</w:t>
      </w:r>
      <w:r>
        <w:rPr>
          <w:rFonts w:hint="eastAsia" w:ascii="微软雅黑" w:hAnsi="微软雅黑" w:eastAsia="微软雅黑" w:cs="微软雅黑"/>
          <w:b/>
          <w:color w:val="000000"/>
          <w:szCs w:val="21"/>
          <w:lang w:val="zh-CN"/>
        </w:rPr>
        <w:t>）、《众安在线财产保险股份有限公司个人重大疾病保险条款（互联网2022版A款）》（注册号：</w:t>
      </w:r>
      <w:r>
        <w:rPr>
          <w:rFonts w:ascii="微软雅黑" w:hAnsi="微软雅黑" w:eastAsia="微软雅黑" w:cs="微软雅黑"/>
          <w:b/>
          <w:color w:val="000000"/>
          <w:szCs w:val="21"/>
          <w:lang w:val="zh-CN"/>
        </w:rPr>
        <w:t>C00017932612021111900413</w:t>
      </w:r>
      <w:r>
        <w:rPr>
          <w:rFonts w:hint="eastAsia" w:ascii="微软雅黑" w:hAnsi="微软雅黑" w:eastAsia="微软雅黑" w:cs="微软雅黑"/>
          <w:b/>
          <w:color w:val="000000"/>
          <w:szCs w:val="21"/>
          <w:lang w:val="zh-CN"/>
        </w:rPr>
        <w:t>）、《众安在线财产保险股份有限公司附加重大疾病扩展特需医疗保险条款（互联网2022版A款）》（注册号：</w:t>
      </w:r>
      <w:r>
        <w:rPr>
          <w:rFonts w:ascii="微软雅黑" w:hAnsi="微软雅黑" w:eastAsia="微软雅黑" w:cs="微软雅黑"/>
          <w:b/>
          <w:color w:val="000000"/>
          <w:szCs w:val="21"/>
          <w:lang w:val="zh-CN"/>
        </w:rPr>
        <w:t>C00017932522021112600433</w:t>
      </w:r>
      <w:r>
        <w:rPr>
          <w:rFonts w:hint="eastAsia" w:ascii="微软雅黑" w:hAnsi="微软雅黑" w:eastAsia="微软雅黑" w:cs="微软雅黑"/>
          <w:b/>
          <w:color w:val="000000"/>
          <w:szCs w:val="21"/>
          <w:lang w:val="zh-CN"/>
        </w:rPr>
        <w:t>）、《众安在线财产保险股份有限公司个人住院医疗费用补偿保险条款（互联网2024版A款）》（注册号：</w:t>
      </w:r>
      <w:r>
        <w:rPr>
          <w:rFonts w:ascii="微软雅黑" w:hAnsi="微软雅黑" w:eastAsia="微软雅黑" w:cs="微软雅黑"/>
          <w:b/>
          <w:color w:val="000000"/>
          <w:szCs w:val="21"/>
        </w:rPr>
        <w:t>C00017932512024091300633</w:t>
      </w:r>
      <w:r>
        <w:rPr>
          <w:rFonts w:hint="eastAsia" w:ascii="微软雅黑" w:hAnsi="微软雅黑" w:eastAsia="微软雅黑" w:cs="微软雅黑"/>
          <w:b/>
          <w:color w:val="000000"/>
          <w:szCs w:val="21"/>
          <w:lang w:val="zh-CN"/>
        </w:rPr>
        <w:t>）、《众安在线财产保险股份有限公司附加住院津贴医疗保险条款（互联网2024版A款）》（注册号：</w:t>
      </w:r>
      <w:r>
        <w:rPr>
          <w:rFonts w:ascii="微软雅黑" w:hAnsi="微软雅黑" w:eastAsia="微软雅黑" w:cs="微软雅黑"/>
          <w:b/>
          <w:color w:val="000000"/>
          <w:szCs w:val="21"/>
          <w:lang w:val="zh-CN"/>
        </w:rPr>
        <w:t>C00017932522024120302643</w:t>
      </w:r>
      <w:r>
        <w:rPr>
          <w:rFonts w:hint="eastAsia" w:ascii="微软雅黑" w:hAnsi="微软雅黑" w:eastAsia="微软雅黑" w:cs="微软雅黑"/>
          <w:b/>
          <w:color w:val="000000"/>
          <w:szCs w:val="21"/>
          <w:lang w:val="zh-CN"/>
        </w:rPr>
        <w:t>）、《众安在线财产保险股份有限公司附加个人互联网药品费用医疗保险条款（互联网2024版A款）》（注册号：</w:t>
      </w:r>
      <w:r>
        <w:rPr>
          <w:rFonts w:ascii="微软雅黑" w:hAnsi="微软雅黑" w:eastAsia="微软雅黑" w:cs="微软雅黑"/>
          <w:b/>
          <w:color w:val="000000"/>
          <w:szCs w:val="21"/>
        </w:rPr>
        <w:t>C00017932522024060603013</w:t>
      </w:r>
      <w:r>
        <w:rPr>
          <w:rFonts w:hint="eastAsia" w:ascii="微软雅黑" w:hAnsi="微软雅黑" w:eastAsia="微软雅黑" w:cs="微软雅黑"/>
          <w:b/>
          <w:color w:val="000000"/>
          <w:szCs w:val="21"/>
          <w:lang w:val="zh-CN"/>
        </w:rPr>
        <w:t>）、《众安在线财产保险股份有限公司个人门急诊医疗保险条款（互联网2022版D款）》（注册号：</w:t>
      </w:r>
      <w:r>
        <w:rPr>
          <w:rFonts w:ascii="微软雅黑" w:hAnsi="微软雅黑" w:eastAsia="微软雅黑" w:cs="微软雅黑"/>
          <w:b/>
          <w:color w:val="000000"/>
          <w:szCs w:val="21"/>
          <w:lang w:val="zh-CN"/>
        </w:rPr>
        <w:t>C00017932512022011303351</w:t>
      </w:r>
      <w:r>
        <w:rPr>
          <w:rFonts w:hint="eastAsia" w:ascii="微软雅黑" w:hAnsi="微软雅黑" w:eastAsia="微软雅黑" w:cs="微软雅黑"/>
          <w:b/>
          <w:color w:val="000000"/>
          <w:szCs w:val="21"/>
          <w:lang w:val="zh-CN"/>
        </w:rPr>
        <w:t>）</w:t>
      </w:r>
      <w:r>
        <w:rPr>
          <w:rFonts w:hint="eastAsia" w:ascii="微软雅黑" w:hAnsi="微软雅黑" w:eastAsia="微软雅黑" w:cs="微软雅黑"/>
          <w:b/>
          <w:color w:val="000000"/>
          <w:szCs w:val="21"/>
        </w:rPr>
        <w:t>，您了解、同意并确认上述条款内容，特别是保险责任、责任免除及其他用粗体等方式显著提示的部分。作为投保人，您确认对被保险人具有保险利益。购买本产品即表示您同意接受本产品条款及投保须知的全部内容。</w:t>
      </w:r>
    </w:p>
    <w:p w14:paraId="1BB57D01">
      <w:pPr>
        <w:pStyle w:val="12"/>
        <w:numPr>
          <w:ilvl w:val="0"/>
          <w:numId w:val="29"/>
        </w:numPr>
        <w:adjustRightInd w:val="0"/>
        <w:snapToGrid w:val="0"/>
        <w:ind w:firstLineChars="0"/>
        <w:rPr>
          <w:rFonts w:hint="eastAsia" w:ascii="微软雅黑" w:hAnsi="微软雅黑" w:eastAsia="微软雅黑"/>
          <w:b/>
          <w:szCs w:val="21"/>
        </w:rPr>
      </w:pPr>
      <w:r>
        <w:rPr>
          <w:rFonts w:hint="eastAsia" w:ascii="微软雅黑" w:hAnsi="微软雅黑" w:eastAsia="微软雅黑"/>
          <w:b/>
          <w:szCs w:val="21"/>
        </w:rPr>
        <w:t>请您关注“保险条款”约定的保险责任范围，尤其是就医的医院范围、医疗费的赔付范围和药品及药品的购买限制等影响您保障权益的内容。此外，请详细阅读“责任免除条款说明书”，如有任何不明指出请咨询我们的客服人员。</w:t>
      </w:r>
    </w:p>
    <w:p w14:paraId="28749644">
      <w:pPr>
        <w:pStyle w:val="12"/>
        <w:numPr>
          <w:ilvl w:val="0"/>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b/>
          <w:szCs w:val="21"/>
        </w:rPr>
        <w:t>保险费与投保年龄：您每次投保应交纳的保费会随着您的年龄增长而变化。</w:t>
      </w:r>
    </w:p>
    <w:p w14:paraId="4FEEEC6F">
      <w:pPr>
        <w:pStyle w:val="12"/>
        <w:numPr>
          <w:ilvl w:val="0"/>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本产品保险期间：1年。</w:t>
      </w:r>
    </w:p>
    <w:p w14:paraId="1BF14461">
      <w:pPr>
        <w:pStyle w:val="12"/>
        <w:numPr>
          <w:ilvl w:val="0"/>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等待期：本产品必选计划的等待期为3</w:t>
      </w:r>
      <w:r>
        <w:rPr>
          <w:rFonts w:ascii="微软雅黑" w:hAnsi="微软雅黑" w:eastAsia="微软雅黑"/>
          <w:szCs w:val="21"/>
        </w:rPr>
        <w:t>0</w:t>
      </w:r>
      <w:r>
        <w:rPr>
          <w:rFonts w:hint="eastAsia" w:ascii="微软雅黑" w:hAnsi="微软雅黑" w:eastAsia="微软雅黑"/>
          <w:szCs w:val="21"/>
        </w:rPr>
        <w:t>天。尊享药省保加油包的等待期为7天，其余加油包的等待期为3</w:t>
      </w:r>
      <w:r>
        <w:rPr>
          <w:rFonts w:ascii="微软雅黑" w:hAnsi="微软雅黑" w:eastAsia="微软雅黑"/>
          <w:szCs w:val="21"/>
        </w:rPr>
        <w:t>0</w:t>
      </w:r>
      <w:r>
        <w:rPr>
          <w:rFonts w:hint="eastAsia" w:ascii="微软雅黑" w:hAnsi="微软雅黑" w:eastAsia="微软雅黑"/>
          <w:szCs w:val="21"/>
        </w:rPr>
        <w:t>天。</w:t>
      </w:r>
    </w:p>
    <w:p w14:paraId="11D8FFDA">
      <w:pPr>
        <w:pStyle w:val="12"/>
        <w:numPr>
          <w:ilvl w:val="0"/>
          <w:numId w:val="29"/>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基本医疗保险：指《中华人民共和国社会保险法》所规定的基本医疗保险，包括城镇职工基本医疗保险、城镇居民基本医疗保险或城乡居民基本医疗保险、新型农村合作医疗等政府举办的基本医疗保障项目。</w:t>
      </w:r>
    </w:p>
    <w:p w14:paraId="4CDC1407">
      <w:pPr>
        <w:pStyle w:val="13"/>
        <w:numPr>
          <w:ilvl w:val="0"/>
          <w:numId w:val="29"/>
        </w:numPr>
        <w:adjustRightInd w:val="0"/>
        <w:snapToGrid w:val="0"/>
        <w:ind w:firstLineChars="0"/>
        <w:jc w:val="left"/>
        <w:rPr>
          <w:rFonts w:hint="eastAsia" w:ascii="微软雅黑" w:hAnsi="微软雅黑" w:eastAsia="微软雅黑" w:cs="微软雅黑"/>
          <w:color w:val="000000"/>
          <w:szCs w:val="21"/>
          <w:highlight w:val="none"/>
        </w:rPr>
      </w:pPr>
      <w:bookmarkStart w:id="10" w:name="_Hlk88125665"/>
      <w:r>
        <w:rPr>
          <w:rFonts w:hint="eastAsia" w:ascii="微软雅黑" w:hAnsi="微软雅黑" w:eastAsia="微软雅黑" w:cs="微软雅黑"/>
          <w:color w:val="000000"/>
          <w:szCs w:val="21"/>
          <w:highlight w:val="none"/>
        </w:rPr>
        <w:t>本产品包含</w:t>
      </w:r>
      <w:r>
        <w:rPr>
          <w:rFonts w:hint="eastAsia" w:ascii="微软雅黑" w:hAnsi="微软雅黑" w:eastAsia="微软雅黑" w:cs="微软雅黑"/>
          <w:color w:val="000000"/>
          <w:szCs w:val="21"/>
          <w:highlight w:val="none"/>
          <w:lang w:val="en-US" w:eastAsia="zh-CN"/>
        </w:rPr>
        <w:t>e享安康服务、e享外购药服务、三甲医生图文问诊服务、</w:t>
      </w:r>
      <w:r>
        <w:rPr>
          <w:rFonts w:hint="eastAsia" w:ascii="微软雅黑" w:hAnsi="微软雅黑" w:eastAsia="微软雅黑" w:cs="微软雅黑"/>
          <w:color w:val="000000"/>
          <w:szCs w:val="21"/>
          <w:highlight w:val="none"/>
        </w:rPr>
        <w:t>图文咨询服务、视频问诊服务、癌症早筛优选服务、医疗垫付服务、先进疗法就医协助服务</w:t>
      </w:r>
      <w:r>
        <w:rPr>
          <w:rFonts w:hint="eastAsia" w:ascii="微软雅黑" w:hAnsi="微软雅黑" w:eastAsia="微软雅黑" w:cs="微软雅黑"/>
          <w:color w:val="000000" w:themeColor="text1"/>
          <w:szCs w:val="21"/>
          <w:highlight w:val="none"/>
          <w14:textFill>
            <w14:solidFill>
              <w14:schemeClr w14:val="tx1"/>
            </w14:solidFill>
          </w14:textFill>
        </w:rPr>
        <w:t>（需选购相应责任）</w:t>
      </w:r>
      <w:r>
        <w:rPr>
          <w:rFonts w:hint="eastAsia" w:ascii="微软雅黑" w:hAnsi="微软雅黑" w:eastAsia="微软雅黑" w:cs="微软雅黑"/>
          <w:color w:val="000000"/>
          <w:szCs w:val="21"/>
          <w:highlight w:val="none"/>
        </w:rPr>
        <w:t>、重大疾病专案管家服务、重疾绿通服务、</w:t>
      </w:r>
      <w:r>
        <w:rPr>
          <w:rFonts w:hint="eastAsia" w:ascii="微软雅黑" w:hAnsi="微软雅黑" w:eastAsia="微软雅黑" w:cs="微软雅黑"/>
          <w:color w:val="000000"/>
          <w:szCs w:val="21"/>
          <w:highlight w:val="none"/>
          <w:lang w:val="en-US" w:eastAsia="zh-CN"/>
        </w:rPr>
        <w:t>重疾视频MDT服务、</w:t>
      </w:r>
      <w:r>
        <w:rPr>
          <w:rFonts w:hint="eastAsia" w:ascii="微软雅黑" w:hAnsi="微软雅黑" w:eastAsia="微软雅黑" w:cs="微软雅黑"/>
          <w:color w:val="000000"/>
          <w:szCs w:val="21"/>
          <w:highlight w:val="none"/>
        </w:rPr>
        <w:t>重大疾病住院护工服务、肿瘤安康综合管理服务、术后家庭护理服务、肿瘤特药直付服务、用药前基因检测、罕见病特药服务、海南博鳌进口特药服务、特定疾病急需药品服务。以上服务均限被保险人本人且应在等待期3</w:t>
      </w:r>
      <w:r>
        <w:rPr>
          <w:rFonts w:ascii="微软雅黑" w:hAnsi="微软雅黑" w:eastAsia="微软雅黑" w:cs="微软雅黑"/>
          <w:color w:val="000000"/>
          <w:szCs w:val="21"/>
          <w:highlight w:val="none"/>
        </w:rPr>
        <w:t>0</w:t>
      </w:r>
      <w:r>
        <w:rPr>
          <w:rFonts w:hint="eastAsia" w:ascii="微软雅黑" w:hAnsi="微软雅黑" w:eastAsia="微软雅黑" w:cs="微软雅黑"/>
          <w:color w:val="000000"/>
          <w:szCs w:val="21"/>
          <w:highlight w:val="none"/>
        </w:rPr>
        <w:t>天后的保险期限内使用，服务电话：</w:t>
      </w:r>
      <w:bookmarkStart w:id="11" w:name="_Hlk150446969"/>
      <w:r>
        <w:rPr>
          <w:rFonts w:ascii="微软雅黑" w:hAnsi="微软雅黑" w:eastAsia="微软雅黑" w:cs="微软雅黑"/>
          <w:color w:val="000000"/>
          <w:szCs w:val="21"/>
          <w:highlight w:val="none"/>
        </w:rPr>
        <w:t>952299或1010-9955</w:t>
      </w:r>
      <w:bookmarkEnd w:id="11"/>
      <w:r>
        <w:rPr>
          <w:rFonts w:ascii="微软雅黑" w:hAnsi="微软雅黑" w:eastAsia="微软雅黑" w:cs="微软雅黑"/>
          <w:color w:val="000000"/>
          <w:szCs w:val="21"/>
          <w:highlight w:val="none"/>
        </w:rPr>
        <w:t>。</w:t>
      </w:r>
      <w:bookmarkEnd w:id="10"/>
    </w:p>
    <w:p w14:paraId="361EAB0A">
      <w:pPr>
        <w:pStyle w:val="13"/>
        <w:numPr>
          <w:ilvl w:val="0"/>
          <w:numId w:val="29"/>
        </w:numPr>
        <w:adjustRightInd w:val="0"/>
        <w:snapToGrid w:val="0"/>
        <w:ind w:firstLineChars="0"/>
        <w:jc w:val="left"/>
        <w:rPr>
          <w:rFonts w:hint="eastAsia" w:ascii="微软雅黑" w:hAnsi="微软雅黑" w:eastAsia="微软雅黑" w:cs="微软雅黑"/>
          <w:color w:val="000000"/>
          <w:szCs w:val="21"/>
          <w:highlight w:val="none"/>
        </w:rPr>
      </w:pPr>
      <w:r>
        <w:rPr>
          <w:rFonts w:hint="eastAsia" w:ascii="微软雅黑" w:hAnsi="微软雅黑" w:eastAsia="微软雅黑" w:cs="微软雅黑"/>
          <w:color w:val="000000"/>
          <w:szCs w:val="21"/>
          <w:highlight w:val="none"/>
        </w:rPr>
        <w:t>若您购买尊享药省保加油包将包含在线购药服务，本服务限被保险人本人且应在等待期7天后的保险期限内使用，您可以通过众安健康公众号-点击菜单栏“我要买药”-对应保单-保单服务中选择服务[互联网医院购药]或者或者通过众安众企保公众号-个人中心-我的保单-服务中心-美团在线购药。</w:t>
      </w:r>
    </w:p>
    <w:p w14:paraId="680BFD86">
      <w:pPr>
        <w:pStyle w:val="12"/>
        <w:numPr>
          <w:ilvl w:val="0"/>
          <w:numId w:val="2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每一被保险人同一保险期间内限投保</w:t>
      </w:r>
      <w:r>
        <w:rPr>
          <w:rFonts w:ascii="微软雅黑" w:hAnsi="微软雅黑" w:eastAsia="微软雅黑"/>
          <w:szCs w:val="21"/>
          <w:highlight w:val="none"/>
        </w:rPr>
        <w:t>1份，多投保无效。</w:t>
      </w:r>
    </w:p>
    <w:p w14:paraId="2F09D951">
      <w:pPr>
        <w:pStyle w:val="12"/>
        <w:numPr>
          <w:ilvl w:val="0"/>
          <w:numId w:val="2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本产品保单生效日期为投保成功的次日零时。</w:t>
      </w:r>
    </w:p>
    <w:p w14:paraId="27E2D7E3">
      <w:pPr>
        <w:pStyle w:val="13"/>
        <w:numPr>
          <w:ilvl w:val="0"/>
          <w:numId w:val="2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本产品通过互联网在中华人民共和国境内（</w:t>
      </w:r>
      <w:r>
        <w:rPr>
          <w:rFonts w:hint="eastAsia" w:ascii="微软雅黑" w:hAnsi="微软雅黑" w:eastAsia="微软雅黑"/>
          <w:szCs w:val="21"/>
          <w:highlight w:val="none"/>
          <w:lang w:val="en-US" w:eastAsia="zh-CN"/>
        </w:rPr>
        <w:t>香港特别行政区</w:t>
      </w:r>
      <w:r>
        <w:rPr>
          <w:rFonts w:hint="eastAsia" w:ascii="微软雅黑" w:hAnsi="微软雅黑" w:eastAsia="微软雅黑"/>
          <w:szCs w:val="21"/>
          <w:highlight w:val="none"/>
        </w:rPr>
        <w:t>、澳</w:t>
      </w:r>
      <w:r>
        <w:rPr>
          <w:rFonts w:hint="eastAsia" w:ascii="微软雅黑" w:hAnsi="微软雅黑" w:eastAsia="微软雅黑"/>
          <w:szCs w:val="21"/>
          <w:highlight w:val="none"/>
          <w:lang w:val="en-US" w:eastAsia="zh-CN"/>
        </w:rPr>
        <w:t>门特别行政区</w:t>
      </w:r>
      <w:r>
        <w:rPr>
          <w:rFonts w:hint="eastAsia" w:ascii="微软雅黑" w:hAnsi="微软雅黑" w:eastAsia="微软雅黑"/>
          <w:szCs w:val="21"/>
          <w:highlight w:val="none"/>
        </w:rPr>
        <w:t>、</w:t>
      </w:r>
      <w:r>
        <w:rPr>
          <w:rFonts w:hint="eastAsia" w:ascii="微软雅黑" w:hAnsi="微软雅黑" w:eastAsia="微软雅黑"/>
          <w:szCs w:val="21"/>
          <w:highlight w:val="none"/>
          <w:lang w:val="en-US" w:eastAsia="zh-CN"/>
        </w:rPr>
        <w:t>台湾省</w:t>
      </w:r>
      <w:r>
        <w:rPr>
          <w:rFonts w:hint="eastAsia" w:ascii="微软雅黑" w:hAnsi="微软雅黑" w:eastAsia="微软雅黑"/>
          <w:szCs w:val="21"/>
          <w:highlight w:val="none"/>
        </w:rPr>
        <w:t>除外）区域销售。</w:t>
      </w:r>
    </w:p>
    <w:p w14:paraId="1F84DE11">
      <w:pPr>
        <w:adjustRightInd w:val="0"/>
        <w:snapToGrid w:val="0"/>
        <w:rPr>
          <w:rFonts w:hint="eastAsia" w:ascii="微软雅黑" w:hAnsi="微软雅黑" w:eastAsia="微软雅黑"/>
          <w:szCs w:val="21"/>
        </w:rPr>
      </w:pPr>
    </w:p>
    <w:p w14:paraId="4747F623">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保单服务</w:t>
      </w:r>
    </w:p>
    <w:p w14:paraId="2EBA6CE4">
      <w:pPr>
        <w:pStyle w:val="12"/>
        <w:numPr>
          <w:ilvl w:val="0"/>
          <w:numId w:val="3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投保：</w:t>
      </w:r>
      <w:r>
        <w:rPr>
          <w:rFonts w:ascii="微软雅黑" w:hAnsi="微软雅黑" w:eastAsia="微软雅黑"/>
          <w:szCs w:val="21"/>
        </w:rPr>
        <w:t>您填写个人投保信息并勾选需要的保险计划，若核保通过，您可通过支付宝、银行卡等支付方式交纳保费至众安保险指定账户（如为赠险无须交费），保险合同成立；若核保不通过，则投保人无需支付保险费，保险合同不成立。</w:t>
      </w:r>
      <w:r>
        <w:rPr>
          <w:rFonts w:hint="eastAsia" w:ascii="微软雅黑" w:hAnsi="微软雅黑" w:eastAsia="微软雅黑"/>
          <w:szCs w:val="21"/>
        </w:rPr>
        <w:t xml:space="preserve"> </w:t>
      </w:r>
    </w:p>
    <w:p w14:paraId="40F027F1">
      <w:pPr>
        <w:pStyle w:val="12"/>
        <w:numPr>
          <w:ilvl w:val="0"/>
          <w:numId w:val="3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保单查询：本合同采用电子保单形式承保并提供电子发票，您可以通过下列方式查询保单。如您需要纸质保单请拨打众安保险客服电话</w:t>
      </w:r>
      <w:r>
        <w:rPr>
          <w:rFonts w:ascii="微软雅黑" w:hAnsi="微软雅黑" w:eastAsia="微软雅黑" w:cs="微软雅黑"/>
          <w:color w:val="000000"/>
          <w:szCs w:val="21"/>
        </w:rPr>
        <w:t>952299或1010-9955</w:t>
      </w:r>
      <w:r>
        <w:rPr>
          <w:rFonts w:hint="eastAsia" w:ascii="微软雅黑" w:hAnsi="微软雅黑" w:eastAsia="微软雅黑"/>
          <w:szCs w:val="21"/>
        </w:rPr>
        <w:t>，众安保险提供EMS快递到付服务。登录众安官网</w:t>
      </w:r>
      <w:r>
        <w:fldChar w:fldCharType="begin"/>
      </w:r>
      <w:r>
        <w:instrText xml:space="preserve"> HYPERLINK "http://www.zhongan.com/" </w:instrText>
      </w:r>
      <w:r>
        <w:fldChar w:fldCharType="separate"/>
      </w:r>
      <w:r>
        <w:rPr>
          <w:rFonts w:hint="eastAsia" w:ascii="微软雅黑" w:hAnsi="微软雅黑" w:eastAsia="微软雅黑"/>
          <w:szCs w:val="21"/>
        </w:rPr>
        <w:t>www.zhongan.com</w:t>
      </w:r>
      <w:r>
        <w:rPr>
          <w:rFonts w:hint="eastAsia" w:ascii="微软雅黑" w:hAnsi="微软雅黑" w:eastAsia="微软雅黑"/>
          <w:szCs w:val="21"/>
        </w:rPr>
        <w:fldChar w:fldCharType="end"/>
      </w:r>
      <w:r>
        <w:rPr>
          <w:rFonts w:hint="eastAsia" w:ascii="微软雅黑" w:hAnsi="微软雅黑" w:eastAsia="微软雅黑"/>
          <w:szCs w:val="21"/>
        </w:rPr>
        <w:t>、众安保险APP查看或拨打客服电话</w:t>
      </w:r>
      <w:r>
        <w:rPr>
          <w:rFonts w:ascii="微软雅黑" w:hAnsi="微软雅黑" w:eastAsia="微软雅黑" w:cs="微软雅黑"/>
          <w:color w:val="000000"/>
          <w:szCs w:val="21"/>
        </w:rPr>
        <w:t>952299或1010-9955</w:t>
      </w:r>
      <w:r>
        <w:rPr>
          <w:rFonts w:hint="eastAsia" w:ascii="微软雅黑" w:hAnsi="微软雅黑" w:eastAsia="微软雅黑"/>
          <w:szCs w:val="21"/>
        </w:rPr>
        <w:t>进行查询。根据《中华人民共和国民法典》第四百六十九条规定，数据电文是合法的合同表现形式。您投保本保险时视为接受以众安保险提供的电子保单作为本投保书成立的合法有效凭证，具有完全证据效力。</w:t>
      </w:r>
    </w:p>
    <w:p w14:paraId="58391C78">
      <w:pPr>
        <w:pStyle w:val="12"/>
        <w:numPr>
          <w:ilvl w:val="0"/>
          <w:numId w:val="3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理赔：下载“众安保险”APP，在线申请理赔，审核通过，理赔金转账至被保险人/受益人的账户。</w:t>
      </w:r>
    </w:p>
    <w:p w14:paraId="22061238">
      <w:pPr>
        <w:pStyle w:val="12"/>
        <w:numPr>
          <w:ilvl w:val="0"/>
          <w:numId w:val="3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服务电话：如需变更保单信息、咨询保险产品相关事宜、理赔信息，请联系众安保险客户服务热线：</w:t>
      </w:r>
      <w:r>
        <w:rPr>
          <w:rFonts w:ascii="微软雅黑" w:hAnsi="微软雅黑" w:eastAsia="微软雅黑" w:cs="微软雅黑"/>
          <w:color w:val="000000"/>
          <w:szCs w:val="21"/>
        </w:rPr>
        <w:t>952299或1010-9955</w:t>
      </w:r>
      <w:r>
        <w:rPr>
          <w:rFonts w:hint="eastAsia" w:ascii="微软雅黑" w:hAnsi="微软雅黑" w:eastAsia="微软雅黑"/>
          <w:szCs w:val="21"/>
        </w:rPr>
        <w:t>。</w:t>
      </w:r>
    </w:p>
    <w:p w14:paraId="5DF5B407">
      <w:pPr>
        <w:pStyle w:val="12"/>
        <w:numPr>
          <w:ilvl w:val="0"/>
          <w:numId w:val="30"/>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众安保险投诉热线：021-80399188。</w:t>
      </w:r>
    </w:p>
    <w:p w14:paraId="36084789">
      <w:pPr>
        <w:adjustRightInd w:val="0"/>
        <w:snapToGrid w:val="0"/>
        <w:rPr>
          <w:rFonts w:hint="eastAsia" w:ascii="微软雅黑" w:hAnsi="微软雅黑" w:eastAsia="微软雅黑"/>
          <w:szCs w:val="21"/>
        </w:rPr>
      </w:pPr>
    </w:p>
    <w:p w14:paraId="76AD282F">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承保公司说明</w:t>
      </w:r>
    </w:p>
    <w:p w14:paraId="6BEB95F9">
      <w:pPr>
        <w:pStyle w:val="12"/>
        <w:numPr>
          <w:ilvl w:val="0"/>
          <w:numId w:val="31"/>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本保险产品由</w:t>
      </w:r>
      <w:r>
        <w:rPr>
          <w:rFonts w:hint="eastAsia" w:ascii="微软雅黑" w:hAnsi="微软雅黑" w:eastAsia="微软雅黑"/>
          <w:szCs w:val="21"/>
          <w:highlight w:val="none"/>
        </w:rPr>
        <w:t>众安在线财产保险股份有限公司承保（即本投保须知所称“众安保险”），众安保险总部设立于上海，通过互联网在中华人民共和国境内（</w:t>
      </w:r>
      <w:r>
        <w:rPr>
          <w:rFonts w:hint="eastAsia" w:ascii="微软雅黑" w:hAnsi="微软雅黑" w:eastAsia="微软雅黑"/>
          <w:szCs w:val="21"/>
          <w:highlight w:val="none"/>
          <w:lang w:val="en-US" w:eastAsia="zh-CN"/>
        </w:rPr>
        <w:t>香港特别行政区</w:t>
      </w:r>
      <w:r>
        <w:rPr>
          <w:rFonts w:hint="eastAsia" w:ascii="微软雅黑" w:hAnsi="微软雅黑" w:eastAsia="微软雅黑"/>
          <w:szCs w:val="21"/>
          <w:highlight w:val="none"/>
        </w:rPr>
        <w:t>、澳</w:t>
      </w:r>
      <w:r>
        <w:rPr>
          <w:rFonts w:hint="eastAsia" w:ascii="微软雅黑" w:hAnsi="微软雅黑" w:eastAsia="微软雅黑"/>
          <w:szCs w:val="21"/>
          <w:highlight w:val="none"/>
          <w:lang w:val="en-US" w:eastAsia="zh-CN"/>
        </w:rPr>
        <w:t>门特别行政区</w:t>
      </w:r>
      <w:r>
        <w:rPr>
          <w:rFonts w:hint="eastAsia" w:ascii="微软雅黑" w:hAnsi="微软雅黑" w:eastAsia="微软雅黑"/>
          <w:szCs w:val="21"/>
          <w:highlight w:val="none"/>
        </w:rPr>
        <w:t>、</w:t>
      </w:r>
      <w:r>
        <w:rPr>
          <w:rFonts w:hint="eastAsia" w:ascii="微软雅黑" w:hAnsi="微软雅黑" w:eastAsia="微软雅黑"/>
          <w:szCs w:val="21"/>
          <w:highlight w:val="none"/>
          <w:lang w:val="en-US" w:eastAsia="zh-CN"/>
        </w:rPr>
        <w:t>台湾省</w:t>
      </w:r>
      <w:r>
        <w:rPr>
          <w:rFonts w:hint="eastAsia" w:ascii="微软雅黑" w:hAnsi="微软雅黑" w:eastAsia="微软雅黑"/>
          <w:szCs w:val="21"/>
          <w:highlight w:val="none"/>
        </w:rPr>
        <w:t>除外）开展与互联网</w:t>
      </w:r>
      <w:r>
        <w:rPr>
          <w:rFonts w:hint="eastAsia" w:ascii="微软雅黑" w:hAnsi="微软雅黑" w:eastAsia="微软雅黑"/>
          <w:szCs w:val="21"/>
        </w:rPr>
        <w:t>交易直接相关的保险业务，主要服务会通过电话、互联网上的服务、第三方服务机构等方式为您提供全面便捷的保险服务。众安保险不设分支机构，在您所在的地区，可能无法直接提供及时的面对面线下服务。</w:t>
      </w:r>
    </w:p>
    <w:p w14:paraId="47E557E2">
      <w:pPr>
        <w:adjustRightInd w:val="0"/>
        <w:snapToGrid w:val="0"/>
        <w:rPr>
          <w:rFonts w:hint="eastAsia" w:ascii="微软雅黑" w:hAnsi="微软雅黑" w:eastAsia="微软雅黑"/>
          <w:szCs w:val="21"/>
        </w:rPr>
      </w:pPr>
    </w:p>
    <w:p w14:paraId="44695EA1">
      <w:pPr>
        <w:pStyle w:val="12"/>
        <w:numPr>
          <w:ilvl w:val="0"/>
          <w:numId w:val="5"/>
        </w:numPr>
        <w:adjustRightInd w:val="0"/>
        <w:snapToGrid w:val="0"/>
        <w:ind w:left="0" w:firstLine="0" w:firstLineChars="0"/>
        <w:outlineLvl w:val="0"/>
        <w:rPr>
          <w:rFonts w:hint="eastAsia" w:ascii="微软雅黑" w:hAnsi="微软雅黑" w:eastAsia="微软雅黑"/>
          <w:szCs w:val="21"/>
        </w:rPr>
      </w:pPr>
      <w:r>
        <w:rPr>
          <w:rFonts w:hint="eastAsia" w:ascii="微软雅黑" w:hAnsi="微软雅黑" w:eastAsia="微软雅黑"/>
          <w:szCs w:val="21"/>
        </w:rPr>
        <w:t>偿付能力</w:t>
      </w:r>
    </w:p>
    <w:p w14:paraId="1960250D">
      <w:pPr>
        <w:pStyle w:val="12"/>
        <w:numPr>
          <w:ilvl w:val="0"/>
          <w:numId w:val="32"/>
        </w:numPr>
        <w:adjustRightInd w:val="0"/>
        <w:snapToGrid w:val="0"/>
        <w:ind w:hangingChars="200"/>
        <w:rPr>
          <w:rFonts w:hint="eastAsia" w:ascii="微软雅黑" w:hAnsi="微软雅黑" w:eastAsia="微软雅黑"/>
          <w:szCs w:val="21"/>
        </w:rPr>
      </w:pPr>
      <w:r>
        <w:rPr>
          <w:rFonts w:hint="eastAsia" w:ascii="微软雅黑" w:hAnsi="微软雅黑" w:eastAsia="微软雅黑"/>
          <w:szCs w:val="21"/>
        </w:rPr>
        <w:t>众安保险最近季度偿付能力充足率符合监管要求，详情请参见公司官网偿付能力披露信息：</w:t>
      </w:r>
      <w:r>
        <w:rPr>
          <w:rFonts w:ascii="微软雅黑" w:hAnsi="微软雅黑" w:eastAsia="微软雅黑"/>
          <w:szCs w:val="21"/>
        </w:rPr>
        <w:t xml:space="preserve"> </w:t>
      </w:r>
      <w:r>
        <w:fldChar w:fldCharType="begin"/>
      </w:r>
      <w:r>
        <w:instrText xml:space="preserve"> HYPERLINK "https://www.zhongan.com/channel/public/publicInfo_cfnl2018.html" </w:instrText>
      </w:r>
      <w:r>
        <w:fldChar w:fldCharType="separate"/>
      </w:r>
      <w:r>
        <w:rPr>
          <w:rStyle w:val="10"/>
          <w:rFonts w:ascii="微软雅黑" w:hAnsi="微软雅黑" w:eastAsia="微软雅黑"/>
          <w:szCs w:val="21"/>
        </w:rPr>
        <w:t>https://www.zhongan.com/channel/public/publicInfo_cfnl2018.html</w:t>
      </w:r>
      <w:r>
        <w:rPr>
          <w:rStyle w:val="10"/>
          <w:rFonts w:ascii="微软雅黑" w:hAnsi="微软雅黑" w:eastAsia="微软雅黑"/>
          <w:szCs w:val="21"/>
        </w:rPr>
        <w:fldChar w:fldCharType="end"/>
      </w:r>
    </w:p>
    <w:p w14:paraId="187A200B">
      <w:pPr>
        <w:adjustRightInd w:val="0"/>
        <w:snapToGrid w:val="0"/>
        <w:rPr>
          <w:rFonts w:hint="eastAsia" w:ascii="微软雅黑" w:hAnsi="微软雅黑" w:eastAsia="微软雅黑"/>
          <w:szCs w:val="21"/>
        </w:rPr>
      </w:pPr>
    </w:p>
    <w:p w14:paraId="202C01F1">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信息安全及相关授权等。</w:t>
      </w:r>
    </w:p>
    <w:p w14:paraId="53533A04">
      <w:pPr>
        <w:pStyle w:val="12"/>
        <w:numPr>
          <w:ilvl w:val="0"/>
          <w:numId w:val="33"/>
        </w:numPr>
        <w:adjustRightInd w:val="0"/>
        <w:snapToGrid w:val="0"/>
        <w:ind w:firstLineChars="0"/>
        <w:rPr>
          <w:rFonts w:hint="eastAsia" w:ascii="微软雅黑" w:hAnsi="微软雅黑" w:eastAsia="微软雅黑"/>
          <w:szCs w:val="21"/>
        </w:rPr>
      </w:pPr>
      <w:r>
        <w:rPr>
          <w:rFonts w:hint="eastAsia" w:ascii="微软雅黑" w:hAnsi="微软雅黑" w:eastAsia="微软雅黑"/>
          <w:szCs w:val="21"/>
        </w:rPr>
        <w:t>众安保险严格遵守现行的关于个人信息、数据及隐私保护的法律法规，采取充分的技术手段和制度管理，保护您提供给众安保险的个人信息、数据和隐私不受到非法的泄露或披露给未获授权的第三方。在必要情形下第三方可能接触并使用您的个人信息，包括得到授权的众安保险员工、以及不时执行与众安保险的业务、营销活动和数据整理有关工作的其他公司或人员。所有此类人员及公司均需遵守相关保密协议，同时也需遵守国家关于个人信息保护有关法律法规，以确保您的个人信息随时得到保护。除上述用途外，众安保险不会将您的个人信息用于任何未经您同意的用途。除了众安保险的业务合作伙伴、法律顾问、外部审计机构或按照法律规定、监管规定或司法裁决之外，众安保险不会将所接受的任何个人信息泄露、篡改、毁损、出售或者提供给任何第三方。</w:t>
      </w:r>
    </w:p>
    <w:p w14:paraId="3AE57F86">
      <w:pPr>
        <w:pStyle w:val="12"/>
        <w:numPr>
          <w:ilvl w:val="0"/>
          <w:numId w:val="33"/>
        </w:numPr>
        <w:adjustRightInd w:val="0"/>
        <w:snapToGrid w:val="0"/>
        <w:ind w:firstLineChars="0"/>
        <w:rPr>
          <w:rFonts w:hint="eastAsia" w:ascii="微软雅黑" w:hAnsi="微软雅黑" w:eastAsia="微软雅黑"/>
          <w:szCs w:val="21"/>
        </w:rPr>
      </w:pPr>
      <w:r>
        <w:rPr>
          <w:rFonts w:ascii="微软雅黑" w:hAnsi="微软雅黑" w:eastAsia="微软雅黑"/>
          <w:szCs w:val="21"/>
        </w:rPr>
        <w:t>投保时,投保人已就该产品的保障内容、保险金额以及信息授权等向被保险人/被保险人监护人进行了明确说明,并征得其同意。在投保本产品前您应履行相应的如实告知义务，如有不实告知，我公司有权依据《保险法》十六条的规定解除保险合同，并对合同解除前发生的保险事故不承担保险责任</w:t>
      </w:r>
      <w:r>
        <w:rPr>
          <w:rFonts w:hint="eastAsia" w:ascii="微软雅黑" w:hAnsi="微软雅黑" w:eastAsia="微软雅黑"/>
          <w:szCs w:val="21"/>
        </w:rPr>
        <w:t>。</w:t>
      </w:r>
      <w:r>
        <w:rPr>
          <w:rFonts w:hint="eastAsia" w:ascii="微软雅黑" w:hAnsi="微软雅黑" w:eastAsia="微软雅黑"/>
          <w:b/>
          <w:szCs w:val="21"/>
        </w:rPr>
        <w:t>基于提供保险服务、提高服务质量的需要，您授权：众安保险及众安保险的合作机构在承保前或承保后以多种方式核实投保信息的真实性、调查获取被保险人与保险有关的相关信息</w:t>
      </w:r>
      <w:r>
        <w:rPr>
          <w:rFonts w:ascii="微软雅黑" w:hAnsi="微软雅黑" w:eastAsia="微软雅黑"/>
          <w:b/>
          <w:szCs w:val="21"/>
        </w:rPr>
        <w:t>(包括但不限于健康情况、诊疗情况、既往病史等)，</w:t>
      </w:r>
      <w:r>
        <w:rPr>
          <w:rFonts w:hint="eastAsia" w:ascii="微软雅黑" w:hAnsi="微软雅黑" w:eastAsia="微软雅黑"/>
          <w:b/>
          <w:szCs w:val="21"/>
        </w:rPr>
        <w:t>同意查询被保险人已在电子票夹归集保管的、或通过电子票夹使用被保险人的姓名、身份证号等个人信息向医院查询被保险人就诊的电子票据。如众安保险经前述核查发现您不符合本产品的投保条件或存在未如实告知情况的，众安保险将有权拒绝承保或依法解除保险合同；众安保险向与具有必要合作关系的机构提供您的信息（包括但不限于投保、承保、理赔、医疗等）；众安保险及众安保险的合作机构可对您的信息进行合理使用，可通过知悉您信息的机构查询与您有关的全部信息。为确保信息安全，众安保险及合作机构应采取有效措施，并承担保密义务。</w:t>
      </w:r>
    </w:p>
    <w:p w14:paraId="115A09E1">
      <w:pPr>
        <w:adjustRightInd w:val="0"/>
        <w:snapToGrid w:val="0"/>
        <w:rPr>
          <w:rFonts w:hint="eastAsia" w:ascii="微软雅黑" w:hAnsi="微软雅黑" w:eastAsia="微软雅黑"/>
          <w:szCs w:val="21"/>
        </w:rPr>
      </w:pPr>
    </w:p>
    <w:p w14:paraId="4639BA2E">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个人信息保护政策</w:t>
      </w:r>
    </w:p>
    <w:p w14:paraId="2FA84E74">
      <w:pPr>
        <w:adjustRightInd w:val="0"/>
        <w:snapToGrid w:val="0"/>
        <w:rPr>
          <w:rFonts w:hint="eastAsia" w:ascii="微软雅黑" w:hAnsi="微软雅黑" w:eastAsia="微软雅黑"/>
          <w:szCs w:val="21"/>
        </w:rPr>
      </w:pPr>
      <w:r>
        <w:rPr>
          <w:rFonts w:hint="eastAsia" w:ascii="微软雅黑" w:hAnsi="微软雅黑" w:eastAsia="微软雅黑"/>
          <w:szCs w:val="21"/>
        </w:rPr>
        <w:object>
          <v:shape id="_x0000_i1026" o:spt="75" type="#_x0000_t75" style="height:65.5pt;width:72.5pt;" o:ole="t" filled="f" o:preferrelative="t" stroked="f" coordsize="21600,21600">
            <v:path/>
            <v:fill on="f" focussize="0,0"/>
            <v:stroke on="f"/>
            <v:imagedata r:id="rId7" o:title=""/>
            <o:lock v:ext="edit" aspectratio="t"/>
            <w10:wrap type="none"/>
            <w10:anchorlock/>
          </v:shape>
          <o:OLEObject Type="Embed" ProgID="Package" ShapeID="_x0000_i1026" DrawAspect="Icon" ObjectID="_1468075726" r:id="rId6">
            <o:LockedField>false</o:LockedField>
          </o:OLEObject>
        </w:object>
      </w:r>
    </w:p>
    <w:p w14:paraId="755293C4">
      <w:pPr>
        <w:adjustRightInd w:val="0"/>
        <w:snapToGrid w:val="0"/>
        <w:rPr>
          <w:rFonts w:hint="eastAsia" w:ascii="微软雅黑" w:hAnsi="微软雅黑" w:eastAsia="微软雅黑"/>
          <w:szCs w:val="21"/>
        </w:rPr>
      </w:pPr>
    </w:p>
    <w:p w14:paraId="59636220">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代扣服务授权及协议</w:t>
      </w:r>
    </w:p>
    <w:p w14:paraId="54B842C3">
      <w:pPr>
        <w:adjustRightInd w:val="0"/>
        <w:snapToGrid w:val="0"/>
      </w:pPr>
      <w:r>
        <w:object>
          <v:shape id="_x0000_i1027" o:spt="75" type="#_x0000_t75" style="height:58.35pt;width:79.65pt;" o:ole="t" filled="f" o:preferrelative="t" stroked="f" coordsize="21600,21600">
            <v:path/>
            <v:fill on="f" focussize="0,0"/>
            <v:stroke on="f" joinstyle="miter"/>
            <v:imagedata r:id="rId9" o:title=""/>
            <o:lock v:ext="edit" aspectratio="t"/>
            <w10:wrap type="none"/>
            <w10:anchorlock/>
          </v:shape>
          <o:OLEObject Type="Embed" ProgID="Package" ShapeID="_x0000_i1027" DrawAspect="Icon" ObjectID="_1468075727" r:id="rId8">
            <o:LockedField>false</o:LockedField>
          </o:OLEObject>
        </w:object>
      </w:r>
    </w:p>
    <w:p w14:paraId="1845D038">
      <w:pPr>
        <w:adjustRightInd w:val="0"/>
        <w:snapToGrid w:val="0"/>
      </w:pPr>
    </w:p>
    <w:p w14:paraId="4951C39E">
      <w:pPr>
        <w:pStyle w:val="12"/>
        <w:numPr>
          <w:ilvl w:val="0"/>
          <w:numId w:val="5"/>
        </w:numPr>
        <w:adjustRightInd w:val="0"/>
        <w:snapToGrid w:val="0"/>
        <w:ind w:firstLineChars="0"/>
        <w:outlineLvl w:val="0"/>
        <w:rPr>
          <w:rFonts w:hint="eastAsia" w:ascii="微软雅黑" w:hAnsi="微软雅黑" w:eastAsia="微软雅黑"/>
          <w:szCs w:val="21"/>
        </w:rPr>
      </w:pPr>
      <w:r>
        <w:rPr>
          <w:rFonts w:hint="eastAsia" w:ascii="微软雅黑" w:hAnsi="微软雅黑" w:eastAsia="微软雅黑"/>
          <w:szCs w:val="21"/>
        </w:rPr>
        <w:t>众安保险特殊职业类别表</w:t>
      </w:r>
    </w:p>
    <w:p w14:paraId="60CA64FB">
      <w:pPr>
        <w:pStyle w:val="12"/>
        <w:adjustRightInd w:val="0"/>
        <w:snapToGrid w:val="0"/>
        <w:ind w:firstLine="0" w:firstLineChars="0"/>
        <w:outlineLvl w:val="0"/>
        <w:rPr>
          <w:rFonts w:hint="eastAsia" w:ascii="微软雅黑" w:hAnsi="微软雅黑" w:eastAsia="微软雅黑"/>
          <w:szCs w:val="21"/>
        </w:rPr>
      </w:pPr>
    </w:p>
    <w:tbl>
      <w:tblPr>
        <w:tblStyle w:val="8"/>
        <w:tblW w:w="10071" w:type="dxa"/>
        <w:tblInd w:w="-9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9"/>
        <w:gridCol w:w="8652"/>
      </w:tblGrid>
      <w:tr w14:paraId="263EA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14:paraId="3D47F036">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大类行业</w:t>
            </w:r>
          </w:p>
        </w:tc>
        <w:tc>
          <w:tcPr>
            <w:tcW w:w="8647" w:type="dxa"/>
          </w:tcPr>
          <w:p w14:paraId="49009A24">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职业名称</w:t>
            </w:r>
          </w:p>
        </w:tc>
      </w:tr>
      <w:tr w14:paraId="32AAB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2F405A03">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农\林\牧\渔</w:t>
            </w:r>
          </w:p>
          <w:p w14:paraId="6D5F44FB">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业</w:t>
            </w:r>
          </w:p>
        </w:tc>
        <w:tc>
          <w:tcPr>
            <w:tcW w:w="8647" w:type="dxa"/>
            <w:vAlign w:val="center"/>
          </w:tcPr>
          <w:p w14:paraId="602AAC11">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特种养殖(蜂\蛇\鳄鱼\蝎子)人员、伐木工人、护林员、集材作业工、锯木工人、林业有害生物防治员、木材水运工、起重机操作工、森林抚育工、造林更新工、农用太阳能设施人员、高空经济作物采摘、山核桃采摘人员、松塔采摘人员、近海渔船船员、水产捕捞工、水产养殖潜水工、水生动物苗种繁育工、水生动物饲养工、水生植物苗种培育工、水生植物栽培工、沿海作业渔民、养殖工人(内陆)、养殖工人(沿海)、渔场经营者(亲自作业)、渔业船员、远洋渔船船员</w:t>
            </w:r>
          </w:p>
        </w:tc>
      </w:tr>
      <w:tr w14:paraId="4D112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547B15E8">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电力、热力、燃气及水生产和供应业</w:t>
            </w:r>
          </w:p>
        </w:tc>
        <w:tc>
          <w:tcPr>
            <w:tcW w:w="8647" w:type="dxa"/>
            <w:vAlign w:val="center"/>
          </w:tcPr>
          <w:p w14:paraId="65C77779">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变电设备检修工人、变电站值班人员、变压器检修工人、电力高压电工程设施人员、电力工程设施之架设人员、电台天线维护人员、高压线路带电检修工人、锅炉本体设备检修工人、锅炉附属设备检修工人、牵引电力线路安装维护工人、送电\配电线路工人、维修电工</w:t>
            </w:r>
          </w:p>
        </w:tc>
      </w:tr>
      <w:tr w14:paraId="2B156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54633DEF">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采矿业</w:t>
            </w:r>
          </w:p>
        </w:tc>
        <w:tc>
          <w:tcPr>
            <w:tcW w:w="8647" w:type="dxa"/>
            <w:vAlign w:val="center"/>
          </w:tcPr>
          <w:p w14:paraId="7469B019">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采砂业工人、采石业工人、采石业工人(从事凿眼\放炮\破料等)、石材加工工人、起重机操作工、采油\气工人、井下作业工人、井下作业设备操作维修工、煤层气排采集输工、石油开采工、石油勘探工、水下钻井设备操作工、天然气开采工、油气管道保护工人、油气井测试工人、油气输送工人、钻井工、钻井协作工、淘金工人</w:t>
            </w:r>
          </w:p>
        </w:tc>
      </w:tr>
      <w:tr w14:paraId="34571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25C9FC1E">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交通运输、仓储和邮政业</w:t>
            </w:r>
          </w:p>
        </w:tc>
        <w:tc>
          <w:tcPr>
            <w:tcW w:w="8647" w:type="dxa"/>
            <w:vAlign w:val="center"/>
          </w:tcPr>
          <w:p w14:paraId="6B90EF52">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储罐清洗工、工程卡车人员、营运货车司机及随车工人（总质量4吨及4吨以上）、营运货柜车司机及随车工人、机动三轮车人员、摩托车驾驶员、农用车及拖拉机驾驶人员、起重机操作工、清运车司机及随车工人、清障车司机及随车工人、砂石车司机及随车工人、危险货物运输作业员、液化气\油罐车司机及随车人员、航空摄影人员、直升机飞行员、船舶机工、客货轮报务员、客货轮泵匠、客货轮厨师、客货轮船长、客货轮大副、客货轮大管轮、客货轮电机师、客货轮二副、客货轮二管轮、客货轮机长和高级船员、客货轮木匠、客货轮三副、客货轮三管轮、客货轮事务长、客货轮铜匠、客货轮医务人员及一般船员、客货轮甲板设备操作工、客货轮水手、船舶机舱设备操作工、船舶甲板设备操作工、船闸及升船机运管员、渡轮驾驶及工作人员、港口维护工(码头维修\水面防污)、港口作业缉私人员、航道航务施工工人、码头工人及领班、潜水员、视觉航标工(灯塔\航标维护保养)、水上救生员、推高机操作员、拖船驾驶及工作人员、小汽艇工作人员、游览船工作人员、起重机操作工</w:t>
            </w:r>
          </w:p>
        </w:tc>
      </w:tr>
      <w:tr w14:paraId="5A958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7D2E086A">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公共管理、社会保障和社会组织</w:t>
            </w:r>
          </w:p>
        </w:tc>
        <w:tc>
          <w:tcPr>
            <w:tcW w:w="8647" w:type="dxa"/>
            <w:vAlign w:val="center"/>
          </w:tcPr>
          <w:p w14:paraId="4046D147">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防暴警察、缉毒警察、缉私警察、空中警察、水上警察、特种警察、刑警、森林火情瞭望观察员、森林消防员、消防安全管理员、消防员、消防指挥员、消防装备管理员、应急救援员</w:t>
            </w:r>
          </w:p>
        </w:tc>
      </w:tr>
      <w:tr w14:paraId="7BAB9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2ABF4ED0">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建筑业</w:t>
            </w:r>
          </w:p>
        </w:tc>
        <w:tc>
          <w:tcPr>
            <w:tcW w:w="8647" w:type="dxa"/>
            <w:vAlign w:val="center"/>
          </w:tcPr>
          <w:p w14:paraId="6A904956">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钢筋工人、架子工、杂工、电梯\升降机安装工人、电梯\升降机修理及维护工人、监控设备安装 (室外及高空)、建筑水电工(地下)、安装工人(室外及高空)、爆破工作人员、玻璃幕墙安装工人、拆屋\迁屋工人、钢骨结构工人、海湾港口工程人员、建筑工程车辆机械操作员、建筑工程车辆驾驶员、建筑焊工、建筑油漆工(室外及高空)、铝\铁门窗装修工人、木匠(室外及高空)、潜水工作人员、室外装璜人员(高空)、挖泥船工人、爆破工人、城市轨道交通检修工、道岔制修工人、电力电缆安装运维工、电线架设及维护工人、高速公路工程人员、高速公路绿化、公路养护工、管道工、泥水匠、起重机操作工、牵引电力线路安装维护工、桥梁工程人员、桥隧工、山地铺设工人、输送机操作工、水运工程施工工、送配电线路工、隧道工程人员、索道运输机械操作工、铁路线桥工、铁路舟桥工人、铁路自轮运转设备工、铁路综合维修工、土石方机械操作工人(推土机\铲运机\挖掘机\打桩机驾驶操作人员)、挖掘铲运和桩工机械司机、线桥专用机械操作工人、凿岩工人、舟桥工、筑路工</w:t>
            </w:r>
          </w:p>
        </w:tc>
      </w:tr>
      <w:tr w14:paraId="11981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06135C3D">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制造业</w:t>
            </w:r>
          </w:p>
        </w:tc>
        <w:tc>
          <w:tcPr>
            <w:tcW w:w="8647" w:type="dxa"/>
            <w:vAlign w:val="center"/>
          </w:tcPr>
          <w:p w14:paraId="22F9E167">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空调装修人员(高空)、爆竹\烟花制造及处理工人、玻璃及玻璃制品成型工、玻璃加工工人、玻璃制品加工工、采掘工、电子玻璃制品加工工、火\炸药制造工人、加气混凝土制造工人、金刚石制造工人、砂石骨料生产工、石膏粉生产工、石灰煅烧工、石灰石焙烧工人、石棉制品生产工人、石墨化工、水泥混凝土制品工、水泥生产制造工人、水泥制品工人、炭素焙烧工、炭素成型工、炭素煅烧工、炭素浸渍工、炭素特种材料工、炭素制品工、陶瓷成型施釉工、陶瓷烧成工、陶瓷烧成工人、陶瓷装饰工、预拌混凝土生产工、珍珠岩加工工、装饰石材生产工人、再生物资加工处理工（非金属）、化纤聚合工人、纯碱\烧碱等制造工人、二硫化碳制造工人、防腐工人、氟化盐生产工人、高频等离子工人、过磷酸钙生产工人、合成橡胶生产工人、火柴制造工人、火工品管理工、火工品装配工、雷管制造工、硫酸\盐酸\硝酸等制造工人、硫酸铵生产工人、气体深冷分离工人\制氧工人、缩聚磷酸盐生产工人、索状爆破器材制造工、烟花爆竹工、液化气体制造工、油墨制造工人、脂肪烃生产工人、车床工人(其他)、冲床/冲压工人、弹性元件制造工人、电切削工人、锻造工人、多工序数控机床操作调整工、粉末冶金制造工人、工具钳工、锅炉工人、焊接工人、机械加工材料切割工、加工中心操作工人、剪床工人、金属热处理工人、锯床工人、拉床工人、量具和刃具制造工、螺丝纹挤形工人、铆工、模具工、模型制作工、磨工、刨工、喷涂喷焊工、刃具扭制工人、镗工、铁工厂工人、铣床工人、制齿工人、铸造工人、组合机床操作工人(其他)、钻床工人、工具钳工、铁心叠装工人、有关高压电之工作人员、机械木工、金属家俱制造工人、木地板制造工、电炉炼钢工人、钢丝绳制造工人、高炉炉前工人、高炉原料工人、高炉运转工人、焊管工人、火法冶炼工人、金属材料热处理工人、金属材料丝拉拔工人、金属挤压工人、金属切割工人、金属轧制工人、精整工人、炼钢浇铸工人、炼钢原料工人、炼钢准备工人、平炉炼钢工人、酸洗工人、铁合金电炉治炼工人、烟气制酸工人、金属冶炼和压延加工业一般工人、硬质合金成型工人、硬质合金烧结工人、整脱模工人、铸管工人、铸管精修工人、铸轧工人、转炉炼钢工人、船舶修理工人、航空发动机修理工、航空器部件修理工、航空器机械维护员、航空器外场维护员、工具五金制作工人、建筑五金制作工人、金箔制作工、金属炊具及器皿制作工、铝制品制作工人、靶场试射工人、火工品\爆破器材制造人员、枪\炮弹药装配工人、木材加工及木竹类制品磅秤员、吊车操作人员、机械设备操作工、木材搬运工人、木材干燥工人、木材工厂木材加工员、催化裂化工、工业型煤工、蜡油渣油加氢工、炼厂气加工工、炼焦工\焦炉机车司机、炼焦煤制备工、煤气储运工人、煤提质工、煤制气工人、煤制烯烃生产工、煤制油生产工、水煤浆制备工、油母页岩提炼工、油品储运工、油制气工人、原油蒸馏工、渣油热加工工、拆船工人、船舶附件制造工人、船舶机械装配工、船舶轮机装配工人、船体制造工人、弹头装配工人、导弹部段装配工人、导弹总体装配工人、航空环控救生装备试验工人(空中试验)、航天器引信装配工人、金属船体制造工、铁路机车\车辆电气装修工人、铁路机车\车辆机械制修工人、铁路机车车辆制动修造工人、制浆备料工人、制浆废液回收利用工人、制浆设备操作工人</w:t>
            </w:r>
          </w:p>
        </w:tc>
      </w:tr>
      <w:tr w14:paraId="2B25B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538A8858">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科学研究和技术服务业</w:t>
            </w:r>
          </w:p>
        </w:tc>
        <w:tc>
          <w:tcPr>
            <w:tcW w:w="8647" w:type="dxa"/>
            <w:vAlign w:val="center"/>
          </w:tcPr>
          <w:p w14:paraId="30D7E9EC">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地勘掘进工、地震物探爆炸工人、地质探测员(山区\海上)、海洋地质取样工人、海洋浮标工、坑探工人、物探工人、钻探工人</w:t>
            </w:r>
          </w:p>
        </w:tc>
      </w:tr>
      <w:tr w14:paraId="2CD69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055001B4">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批发和零售业</w:t>
            </w:r>
          </w:p>
        </w:tc>
        <w:tc>
          <w:tcPr>
            <w:tcW w:w="8647" w:type="dxa"/>
          </w:tcPr>
          <w:p w14:paraId="47B1A60F">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液化瓦斯瓦料分装工</w:t>
            </w:r>
          </w:p>
        </w:tc>
      </w:tr>
      <w:tr w14:paraId="1DA3B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7E046125">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教育</w:t>
            </w:r>
          </w:p>
        </w:tc>
        <w:tc>
          <w:tcPr>
            <w:tcW w:w="8647" w:type="dxa"/>
          </w:tcPr>
          <w:p w14:paraId="7CDCC347">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飞行教官、飞行训练学员、军\警校学生</w:t>
            </w:r>
          </w:p>
        </w:tc>
      </w:tr>
      <w:tr w14:paraId="2C47E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62EB1AA3">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水利、环境和公共设施管理业</w:t>
            </w:r>
          </w:p>
        </w:tc>
        <w:tc>
          <w:tcPr>
            <w:tcW w:w="8647" w:type="dxa"/>
            <w:vAlign w:val="center"/>
          </w:tcPr>
          <w:p w14:paraId="6BB747BB">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危险废物处理工、有害生物防制员、河道修防工人、水文勘测船人员</w:t>
            </w:r>
          </w:p>
        </w:tc>
      </w:tr>
      <w:tr w14:paraId="71A8F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1B8D0814">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住宿和餐饮业</w:t>
            </w:r>
          </w:p>
        </w:tc>
        <w:tc>
          <w:tcPr>
            <w:tcW w:w="8647" w:type="dxa"/>
          </w:tcPr>
          <w:p w14:paraId="3A25120C">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锅炉工</w:t>
            </w:r>
          </w:p>
        </w:tc>
      </w:tr>
      <w:tr w14:paraId="31FA0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62A7CE43">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居民服务、修理和其他服务业</w:t>
            </w:r>
          </w:p>
        </w:tc>
        <w:tc>
          <w:tcPr>
            <w:tcW w:w="8647" w:type="dxa"/>
            <w:vAlign w:val="top"/>
          </w:tcPr>
          <w:p w14:paraId="6E9392E3">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储罐清洗工、废旧物资料加工工人（金属)、防毒防化防核抢险人员、高楼外部清洁工、消防灭火员、烟囱清洁工、一般事故抢险人员</w:t>
            </w:r>
          </w:p>
        </w:tc>
      </w:tr>
      <w:tr w14:paraId="0C397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776E5F30">
            <w:pPr>
              <w:widowControl/>
              <w:adjustRightInd w:val="0"/>
              <w:snapToGrid w:val="0"/>
              <w:rPr>
                <w:rFonts w:hint="eastAsia" w:cs="宋体" w:asciiTheme="minorEastAsia" w:hAnsiTheme="minorEastAsia"/>
                <w:color w:val="000000"/>
                <w:kern w:val="0"/>
                <w:sz w:val="24"/>
                <w:lang w:val="en-US" w:eastAsia="zh-CN"/>
              </w:rPr>
            </w:pPr>
            <w:r>
              <w:rPr>
                <w:rFonts w:hint="eastAsia" w:cs="宋体" w:asciiTheme="minorEastAsia" w:hAnsiTheme="minorEastAsia"/>
                <w:color w:val="000000"/>
                <w:kern w:val="0"/>
                <w:sz w:val="24"/>
                <w:lang w:val="en-US" w:eastAsia="zh-CN"/>
              </w:rPr>
              <w:t>军队人员</w:t>
            </w:r>
          </w:p>
        </w:tc>
        <w:tc>
          <w:tcPr>
            <w:tcW w:w="8647" w:type="dxa"/>
          </w:tcPr>
          <w:p w14:paraId="0980B0FC">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空军飞行官兵\海军舰艇官兵\潜艇官兵、前线军人、特种兵、一般地面部队人员(非前线)</w:t>
            </w:r>
          </w:p>
        </w:tc>
      </w:tr>
      <w:tr w14:paraId="2540C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14:paraId="32E49AED">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en-US"/>
              </w:rPr>
              <w:t>文化、体育和娱乐业</w:t>
            </w:r>
          </w:p>
        </w:tc>
        <w:tc>
          <w:tcPr>
            <w:tcW w:w="8647" w:type="dxa"/>
            <w:vAlign w:val="center"/>
          </w:tcPr>
          <w:p w14:paraId="67098134">
            <w:pPr>
              <w:widowControl/>
              <w:adjustRightInd w:val="0"/>
              <w:snapToGrid w:val="0"/>
              <w:rPr>
                <w:rFonts w:hint="eastAsia" w:cs="宋体" w:asciiTheme="minorEastAsia" w:hAnsiTheme="minorEastAsia"/>
                <w:color w:val="000000"/>
                <w:kern w:val="0"/>
                <w:sz w:val="24"/>
                <w:lang w:val="en-US" w:eastAsia="en-US"/>
              </w:rPr>
            </w:pPr>
            <w:r>
              <w:rPr>
                <w:rFonts w:hint="eastAsia" w:cs="宋体" w:asciiTheme="minorEastAsia" w:hAnsiTheme="minorEastAsia"/>
                <w:color w:val="000000"/>
                <w:kern w:val="0"/>
                <w:sz w:val="24"/>
                <w:lang w:val="en-US" w:eastAsia="zh-CN"/>
              </w:rPr>
              <w:t>广告招牌制作架设人员、霓虹光管安装维修人员、特技演员、武打演员、战地记者、冰上曲棍球球员、橄榄球球员、滑水教练、滑水人员、滑翔机具驾驶人员、滑翔机具教练、滑雪教练、滑雪人员、角力人员、空手道人员、马术教练、马术人员、潜水教练、潜水人员、曲棍球球员、拳击人员、柔道人员、赛车教练、赛车人员、摔跤人员、跆拳道人员、特技表演教练、特技表演人员、跳伞教练、跳伞人员、武术人员、雪车教练、雪车与赛人员、动物园驯兽师、救生员</w:t>
            </w:r>
          </w:p>
        </w:tc>
      </w:tr>
    </w:tbl>
    <w:p w14:paraId="132EA72F">
      <w:pPr>
        <w:adjustRightInd w:val="0"/>
        <w:snapToGrid w:val="0"/>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0B1902"/>
    <w:multiLevelType w:val="multilevel"/>
    <w:tmpl w:val="020B1902"/>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06657EB7"/>
    <w:multiLevelType w:val="multilevel"/>
    <w:tmpl w:val="06657EB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F8B7EE9"/>
    <w:multiLevelType w:val="multilevel"/>
    <w:tmpl w:val="0F8B7EE9"/>
    <w:lvl w:ilvl="0" w:tentative="0">
      <w:start w:val="1"/>
      <w:numFmt w:val="lowerRoman"/>
      <w:lvlText w:val="%1."/>
      <w:lvlJc w:val="right"/>
      <w:pPr>
        <w:ind w:left="1700" w:hanging="440"/>
      </w:pPr>
      <w:rPr>
        <w:rFonts w:hint="eastAsia"/>
      </w:rPr>
    </w:lvl>
    <w:lvl w:ilvl="1" w:tentative="0">
      <w:start w:val="1"/>
      <w:numFmt w:val="lowerLetter"/>
      <w:lvlText w:val="%2)"/>
      <w:lvlJc w:val="left"/>
      <w:pPr>
        <w:ind w:left="2140" w:hanging="440"/>
      </w:pPr>
    </w:lvl>
    <w:lvl w:ilvl="2" w:tentative="0">
      <w:start w:val="1"/>
      <w:numFmt w:val="lowerRoman"/>
      <w:lvlText w:val="%3."/>
      <w:lvlJc w:val="right"/>
      <w:pPr>
        <w:ind w:left="2580" w:hanging="440"/>
      </w:pPr>
    </w:lvl>
    <w:lvl w:ilvl="3" w:tentative="0">
      <w:start w:val="1"/>
      <w:numFmt w:val="decimal"/>
      <w:lvlText w:val="%4."/>
      <w:lvlJc w:val="left"/>
      <w:pPr>
        <w:ind w:left="3020" w:hanging="440"/>
      </w:pPr>
    </w:lvl>
    <w:lvl w:ilvl="4" w:tentative="0">
      <w:start w:val="1"/>
      <w:numFmt w:val="lowerLetter"/>
      <w:lvlText w:val="%5)"/>
      <w:lvlJc w:val="left"/>
      <w:pPr>
        <w:ind w:left="3460" w:hanging="440"/>
      </w:pPr>
    </w:lvl>
    <w:lvl w:ilvl="5" w:tentative="0">
      <w:start w:val="1"/>
      <w:numFmt w:val="lowerRoman"/>
      <w:lvlText w:val="%6."/>
      <w:lvlJc w:val="right"/>
      <w:pPr>
        <w:ind w:left="3900" w:hanging="440"/>
      </w:pPr>
    </w:lvl>
    <w:lvl w:ilvl="6" w:tentative="0">
      <w:start w:val="1"/>
      <w:numFmt w:val="decimal"/>
      <w:lvlText w:val="%7."/>
      <w:lvlJc w:val="left"/>
      <w:pPr>
        <w:ind w:left="4340" w:hanging="440"/>
      </w:pPr>
    </w:lvl>
    <w:lvl w:ilvl="7" w:tentative="0">
      <w:start w:val="1"/>
      <w:numFmt w:val="lowerLetter"/>
      <w:lvlText w:val="%8)"/>
      <w:lvlJc w:val="left"/>
      <w:pPr>
        <w:ind w:left="4780" w:hanging="440"/>
      </w:pPr>
    </w:lvl>
    <w:lvl w:ilvl="8" w:tentative="0">
      <w:start w:val="1"/>
      <w:numFmt w:val="lowerRoman"/>
      <w:lvlText w:val="%9."/>
      <w:lvlJc w:val="right"/>
      <w:pPr>
        <w:ind w:left="5220" w:hanging="440"/>
      </w:pPr>
    </w:lvl>
  </w:abstractNum>
  <w:abstractNum w:abstractNumId="3">
    <w:nsid w:val="120E4A98"/>
    <w:multiLevelType w:val="multilevel"/>
    <w:tmpl w:val="120E4A98"/>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18152D"/>
    <w:multiLevelType w:val="multilevel"/>
    <w:tmpl w:val="1818152D"/>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8313BE4"/>
    <w:multiLevelType w:val="multilevel"/>
    <w:tmpl w:val="18313BE4"/>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1A986805"/>
    <w:multiLevelType w:val="multilevel"/>
    <w:tmpl w:val="1A98680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23B17C3A"/>
    <w:multiLevelType w:val="multilevel"/>
    <w:tmpl w:val="23B17C3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
    <w:nsid w:val="23D54DF7"/>
    <w:multiLevelType w:val="multilevel"/>
    <w:tmpl w:val="23D54DF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2B611ED0"/>
    <w:multiLevelType w:val="multilevel"/>
    <w:tmpl w:val="2B611ED0"/>
    <w:lvl w:ilvl="0" w:tentative="0">
      <w:start w:val="1"/>
      <w:numFmt w:val="decimal"/>
      <w:lvlText w:val="%1）"/>
      <w:lvlJc w:val="left"/>
      <w:pPr>
        <w:ind w:left="840" w:hanging="420"/>
      </w:pPr>
      <w:rPr>
        <w:rFonts w:hint="default"/>
        <w:b w:val="0"/>
        <w:bCs w:val="0"/>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2C270DC6"/>
    <w:multiLevelType w:val="multilevel"/>
    <w:tmpl w:val="2C270DC6"/>
    <w:lvl w:ilvl="0" w:tentative="0">
      <w:start w:val="1"/>
      <w:numFmt w:val="lowerRoman"/>
      <w:lvlText w:val="%1."/>
      <w:lvlJc w:val="right"/>
      <w:pPr>
        <w:ind w:left="1700" w:hanging="440"/>
      </w:pPr>
      <w:rPr>
        <w:rFonts w:hint="eastAsia"/>
      </w:rPr>
    </w:lvl>
    <w:lvl w:ilvl="1" w:tentative="0">
      <w:start w:val="1"/>
      <w:numFmt w:val="lowerLetter"/>
      <w:lvlText w:val="%2)"/>
      <w:lvlJc w:val="left"/>
      <w:pPr>
        <w:ind w:left="2140" w:hanging="440"/>
      </w:pPr>
    </w:lvl>
    <w:lvl w:ilvl="2" w:tentative="0">
      <w:start w:val="1"/>
      <w:numFmt w:val="lowerRoman"/>
      <w:lvlText w:val="%3."/>
      <w:lvlJc w:val="right"/>
      <w:pPr>
        <w:ind w:left="2580" w:hanging="440"/>
      </w:pPr>
    </w:lvl>
    <w:lvl w:ilvl="3" w:tentative="0">
      <w:start w:val="1"/>
      <w:numFmt w:val="decimal"/>
      <w:lvlText w:val="%4."/>
      <w:lvlJc w:val="left"/>
      <w:pPr>
        <w:ind w:left="3020" w:hanging="440"/>
      </w:pPr>
    </w:lvl>
    <w:lvl w:ilvl="4" w:tentative="0">
      <w:start w:val="1"/>
      <w:numFmt w:val="lowerLetter"/>
      <w:lvlText w:val="%5)"/>
      <w:lvlJc w:val="left"/>
      <w:pPr>
        <w:ind w:left="3460" w:hanging="440"/>
      </w:pPr>
    </w:lvl>
    <w:lvl w:ilvl="5" w:tentative="0">
      <w:start w:val="1"/>
      <w:numFmt w:val="lowerRoman"/>
      <w:lvlText w:val="%6."/>
      <w:lvlJc w:val="right"/>
      <w:pPr>
        <w:ind w:left="3900" w:hanging="440"/>
      </w:pPr>
    </w:lvl>
    <w:lvl w:ilvl="6" w:tentative="0">
      <w:start w:val="1"/>
      <w:numFmt w:val="decimal"/>
      <w:lvlText w:val="%7."/>
      <w:lvlJc w:val="left"/>
      <w:pPr>
        <w:ind w:left="4340" w:hanging="440"/>
      </w:pPr>
    </w:lvl>
    <w:lvl w:ilvl="7" w:tentative="0">
      <w:start w:val="1"/>
      <w:numFmt w:val="lowerLetter"/>
      <w:lvlText w:val="%8)"/>
      <w:lvlJc w:val="left"/>
      <w:pPr>
        <w:ind w:left="4780" w:hanging="440"/>
      </w:pPr>
    </w:lvl>
    <w:lvl w:ilvl="8" w:tentative="0">
      <w:start w:val="1"/>
      <w:numFmt w:val="lowerRoman"/>
      <w:lvlText w:val="%9."/>
      <w:lvlJc w:val="right"/>
      <w:pPr>
        <w:ind w:left="5220" w:hanging="440"/>
      </w:pPr>
    </w:lvl>
  </w:abstractNum>
  <w:abstractNum w:abstractNumId="11">
    <w:nsid w:val="2F0D3D5F"/>
    <w:multiLevelType w:val="multilevel"/>
    <w:tmpl w:val="2F0D3D5F"/>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33546CF3"/>
    <w:multiLevelType w:val="multilevel"/>
    <w:tmpl w:val="33546CF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33BC6EE1"/>
    <w:multiLevelType w:val="multilevel"/>
    <w:tmpl w:val="33BC6EE1"/>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367C6364"/>
    <w:multiLevelType w:val="multilevel"/>
    <w:tmpl w:val="367C6364"/>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375C7FE8"/>
    <w:multiLevelType w:val="multilevel"/>
    <w:tmpl w:val="375C7FE8"/>
    <w:lvl w:ilvl="0" w:tentative="0">
      <w:start w:val="1"/>
      <w:numFmt w:val="chineseCountingThousand"/>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3DC314E4"/>
    <w:multiLevelType w:val="multilevel"/>
    <w:tmpl w:val="3DC314E4"/>
    <w:lvl w:ilvl="0" w:tentative="0">
      <w:start w:val="1"/>
      <w:numFmt w:val="decimal"/>
      <w:lvlText w:val="%1)"/>
      <w:lvlJc w:val="left"/>
      <w:pPr>
        <w:ind w:left="800" w:hanging="360"/>
      </w:pPr>
      <w:rPr>
        <w:rFonts w:hint="default"/>
      </w:rPr>
    </w:lvl>
    <w:lvl w:ilvl="1" w:tentative="0">
      <w:start w:val="1"/>
      <w:numFmt w:val="lowerLetter"/>
      <w:lvlText w:val="%2)"/>
      <w:lvlJc w:val="left"/>
      <w:pPr>
        <w:ind w:left="1320" w:hanging="440"/>
      </w:pPr>
    </w:lvl>
    <w:lvl w:ilvl="2" w:tentative="0">
      <w:start w:val="1"/>
      <w:numFmt w:val="lowerRoman"/>
      <w:lvlText w:val="%3."/>
      <w:lvlJc w:val="right"/>
      <w:pPr>
        <w:ind w:left="1760" w:hanging="440"/>
      </w:pPr>
    </w:lvl>
    <w:lvl w:ilvl="3" w:tentative="0">
      <w:start w:val="1"/>
      <w:numFmt w:val="decimal"/>
      <w:lvlText w:val="%4."/>
      <w:lvlJc w:val="left"/>
      <w:pPr>
        <w:ind w:left="2200" w:hanging="440"/>
      </w:pPr>
    </w:lvl>
    <w:lvl w:ilvl="4" w:tentative="0">
      <w:start w:val="1"/>
      <w:numFmt w:val="lowerLetter"/>
      <w:lvlText w:val="%5)"/>
      <w:lvlJc w:val="left"/>
      <w:pPr>
        <w:ind w:left="2640" w:hanging="440"/>
      </w:pPr>
    </w:lvl>
    <w:lvl w:ilvl="5" w:tentative="0">
      <w:start w:val="1"/>
      <w:numFmt w:val="lowerRoman"/>
      <w:lvlText w:val="%6."/>
      <w:lvlJc w:val="right"/>
      <w:pPr>
        <w:ind w:left="3080" w:hanging="440"/>
      </w:pPr>
    </w:lvl>
    <w:lvl w:ilvl="6" w:tentative="0">
      <w:start w:val="1"/>
      <w:numFmt w:val="decimal"/>
      <w:lvlText w:val="%7."/>
      <w:lvlJc w:val="left"/>
      <w:pPr>
        <w:ind w:left="3520" w:hanging="440"/>
      </w:pPr>
    </w:lvl>
    <w:lvl w:ilvl="7" w:tentative="0">
      <w:start w:val="1"/>
      <w:numFmt w:val="lowerLetter"/>
      <w:lvlText w:val="%8)"/>
      <w:lvlJc w:val="left"/>
      <w:pPr>
        <w:ind w:left="3960" w:hanging="440"/>
      </w:pPr>
    </w:lvl>
    <w:lvl w:ilvl="8" w:tentative="0">
      <w:start w:val="1"/>
      <w:numFmt w:val="lowerRoman"/>
      <w:lvlText w:val="%9."/>
      <w:lvlJc w:val="right"/>
      <w:pPr>
        <w:ind w:left="4400" w:hanging="440"/>
      </w:pPr>
    </w:lvl>
  </w:abstractNum>
  <w:abstractNum w:abstractNumId="17">
    <w:nsid w:val="42711900"/>
    <w:multiLevelType w:val="multilevel"/>
    <w:tmpl w:val="4271190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45AA44C5"/>
    <w:multiLevelType w:val="multilevel"/>
    <w:tmpl w:val="45AA44C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4C2E453C"/>
    <w:multiLevelType w:val="multilevel"/>
    <w:tmpl w:val="4C2E453C"/>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E6A1153"/>
    <w:multiLevelType w:val="multilevel"/>
    <w:tmpl w:val="4E6A1153"/>
    <w:lvl w:ilvl="0" w:tentative="0">
      <w:start w:val="1"/>
      <w:numFmt w:val="decimal"/>
      <w:lvlText w:val="%1)"/>
      <w:lvlJc w:val="left"/>
      <w:pPr>
        <w:ind w:left="800" w:hanging="360"/>
      </w:pPr>
      <w:rPr>
        <w:rFonts w:hint="default"/>
      </w:rPr>
    </w:lvl>
    <w:lvl w:ilvl="1" w:tentative="0">
      <w:start w:val="1"/>
      <w:numFmt w:val="lowerLetter"/>
      <w:lvlText w:val="%2)"/>
      <w:lvlJc w:val="left"/>
      <w:pPr>
        <w:ind w:left="1320" w:hanging="440"/>
      </w:pPr>
    </w:lvl>
    <w:lvl w:ilvl="2" w:tentative="0">
      <w:start w:val="1"/>
      <w:numFmt w:val="lowerRoman"/>
      <w:lvlText w:val="%3."/>
      <w:lvlJc w:val="right"/>
      <w:pPr>
        <w:ind w:left="1760" w:hanging="440"/>
      </w:pPr>
    </w:lvl>
    <w:lvl w:ilvl="3" w:tentative="0">
      <w:start w:val="1"/>
      <w:numFmt w:val="decimal"/>
      <w:lvlText w:val="%4."/>
      <w:lvlJc w:val="left"/>
      <w:pPr>
        <w:ind w:left="2200" w:hanging="440"/>
      </w:pPr>
    </w:lvl>
    <w:lvl w:ilvl="4" w:tentative="0">
      <w:start w:val="1"/>
      <w:numFmt w:val="lowerLetter"/>
      <w:lvlText w:val="%5)"/>
      <w:lvlJc w:val="left"/>
      <w:pPr>
        <w:ind w:left="2640" w:hanging="440"/>
      </w:pPr>
    </w:lvl>
    <w:lvl w:ilvl="5" w:tentative="0">
      <w:start w:val="1"/>
      <w:numFmt w:val="lowerRoman"/>
      <w:lvlText w:val="%6."/>
      <w:lvlJc w:val="right"/>
      <w:pPr>
        <w:ind w:left="3080" w:hanging="440"/>
      </w:pPr>
    </w:lvl>
    <w:lvl w:ilvl="6" w:tentative="0">
      <w:start w:val="1"/>
      <w:numFmt w:val="decimal"/>
      <w:lvlText w:val="%7."/>
      <w:lvlJc w:val="left"/>
      <w:pPr>
        <w:ind w:left="3520" w:hanging="440"/>
      </w:pPr>
    </w:lvl>
    <w:lvl w:ilvl="7" w:tentative="0">
      <w:start w:val="1"/>
      <w:numFmt w:val="lowerLetter"/>
      <w:lvlText w:val="%8)"/>
      <w:lvlJc w:val="left"/>
      <w:pPr>
        <w:ind w:left="3960" w:hanging="440"/>
      </w:pPr>
    </w:lvl>
    <w:lvl w:ilvl="8" w:tentative="0">
      <w:start w:val="1"/>
      <w:numFmt w:val="lowerRoman"/>
      <w:lvlText w:val="%9."/>
      <w:lvlJc w:val="right"/>
      <w:pPr>
        <w:ind w:left="4400" w:hanging="440"/>
      </w:pPr>
    </w:lvl>
  </w:abstractNum>
  <w:abstractNum w:abstractNumId="21">
    <w:nsid w:val="517C48E6"/>
    <w:multiLevelType w:val="multilevel"/>
    <w:tmpl w:val="517C48E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53716E48"/>
    <w:multiLevelType w:val="multilevel"/>
    <w:tmpl w:val="53716E48"/>
    <w:lvl w:ilvl="0" w:tentative="0">
      <w:start w:val="1"/>
      <w:numFmt w:val="decimal"/>
      <w:lvlText w:val="%1)"/>
      <w:lvlJc w:val="left"/>
      <w:pPr>
        <w:ind w:left="800" w:hanging="360"/>
      </w:pPr>
      <w:rPr>
        <w:rFonts w:hint="default"/>
      </w:rPr>
    </w:lvl>
    <w:lvl w:ilvl="1" w:tentative="0">
      <w:start w:val="1"/>
      <w:numFmt w:val="lowerLetter"/>
      <w:lvlText w:val="%2)"/>
      <w:lvlJc w:val="left"/>
      <w:pPr>
        <w:ind w:left="1320" w:hanging="440"/>
      </w:pPr>
    </w:lvl>
    <w:lvl w:ilvl="2" w:tentative="0">
      <w:start w:val="1"/>
      <w:numFmt w:val="lowerRoman"/>
      <w:lvlText w:val="%3."/>
      <w:lvlJc w:val="right"/>
      <w:pPr>
        <w:ind w:left="1760" w:hanging="440"/>
      </w:pPr>
    </w:lvl>
    <w:lvl w:ilvl="3" w:tentative="0">
      <w:start w:val="1"/>
      <w:numFmt w:val="decimal"/>
      <w:lvlText w:val="%4."/>
      <w:lvlJc w:val="left"/>
      <w:pPr>
        <w:ind w:left="2200" w:hanging="440"/>
      </w:pPr>
    </w:lvl>
    <w:lvl w:ilvl="4" w:tentative="0">
      <w:start w:val="1"/>
      <w:numFmt w:val="lowerLetter"/>
      <w:lvlText w:val="%5)"/>
      <w:lvlJc w:val="left"/>
      <w:pPr>
        <w:ind w:left="2640" w:hanging="440"/>
      </w:pPr>
    </w:lvl>
    <w:lvl w:ilvl="5" w:tentative="0">
      <w:start w:val="1"/>
      <w:numFmt w:val="lowerRoman"/>
      <w:lvlText w:val="%6."/>
      <w:lvlJc w:val="right"/>
      <w:pPr>
        <w:ind w:left="3080" w:hanging="440"/>
      </w:pPr>
    </w:lvl>
    <w:lvl w:ilvl="6" w:tentative="0">
      <w:start w:val="1"/>
      <w:numFmt w:val="decimal"/>
      <w:lvlText w:val="%7."/>
      <w:lvlJc w:val="left"/>
      <w:pPr>
        <w:ind w:left="3520" w:hanging="440"/>
      </w:pPr>
    </w:lvl>
    <w:lvl w:ilvl="7" w:tentative="0">
      <w:start w:val="1"/>
      <w:numFmt w:val="lowerLetter"/>
      <w:lvlText w:val="%8)"/>
      <w:lvlJc w:val="left"/>
      <w:pPr>
        <w:ind w:left="3960" w:hanging="440"/>
      </w:pPr>
    </w:lvl>
    <w:lvl w:ilvl="8" w:tentative="0">
      <w:start w:val="1"/>
      <w:numFmt w:val="lowerRoman"/>
      <w:lvlText w:val="%9."/>
      <w:lvlJc w:val="right"/>
      <w:pPr>
        <w:ind w:left="4400" w:hanging="440"/>
      </w:pPr>
    </w:lvl>
  </w:abstractNum>
  <w:abstractNum w:abstractNumId="23">
    <w:nsid w:val="55752771"/>
    <w:multiLevelType w:val="multilevel"/>
    <w:tmpl w:val="55752771"/>
    <w:lvl w:ilvl="0" w:tentative="0">
      <w:start w:val="1"/>
      <w:numFmt w:val="decimal"/>
      <w:lvlText w:val="%1."/>
      <w:lvlJc w:val="lef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4">
    <w:nsid w:val="5E843D21"/>
    <w:multiLevelType w:val="multilevel"/>
    <w:tmpl w:val="5E843D21"/>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5">
    <w:nsid w:val="5FA22296"/>
    <w:multiLevelType w:val="multilevel"/>
    <w:tmpl w:val="5FA2229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6">
    <w:nsid w:val="612354DE"/>
    <w:multiLevelType w:val="multilevel"/>
    <w:tmpl w:val="612354DE"/>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16E7848"/>
    <w:multiLevelType w:val="multilevel"/>
    <w:tmpl w:val="616E7848"/>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8">
    <w:nsid w:val="61BD6E20"/>
    <w:multiLevelType w:val="multilevel"/>
    <w:tmpl w:val="61BD6E20"/>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9">
    <w:nsid w:val="64B71E8D"/>
    <w:multiLevelType w:val="multilevel"/>
    <w:tmpl w:val="64B71E8D"/>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713C4E89"/>
    <w:multiLevelType w:val="multilevel"/>
    <w:tmpl w:val="713C4E89"/>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787C048F"/>
    <w:multiLevelType w:val="multilevel"/>
    <w:tmpl w:val="787C048F"/>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7C3D765A"/>
    <w:multiLevelType w:val="multilevel"/>
    <w:tmpl w:val="7C3D765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23"/>
  </w:num>
  <w:num w:numId="2">
    <w:abstractNumId w:val="16"/>
  </w:num>
  <w:num w:numId="3">
    <w:abstractNumId w:val="22"/>
  </w:num>
  <w:num w:numId="4">
    <w:abstractNumId w:val="20"/>
  </w:num>
  <w:num w:numId="5">
    <w:abstractNumId w:val="15"/>
  </w:num>
  <w:num w:numId="6">
    <w:abstractNumId w:val="17"/>
  </w:num>
  <w:num w:numId="7">
    <w:abstractNumId w:val="21"/>
  </w:num>
  <w:num w:numId="8">
    <w:abstractNumId w:val="18"/>
  </w:num>
  <w:num w:numId="9">
    <w:abstractNumId w:val="25"/>
  </w:num>
  <w:num w:numId="10">
    <w:abstractNumId w:val="1"/>
  </w:num>
  <w:num w:numId="11">
    <w:abstractNumId w:val="9"/>
  </w:num>
  <w:num w:numId="12">
    <w:abstractNumId w:val="7"/>
  </w:num>
  <w:num w:numId="13">
    <w:abstractNumId w:val="32"/>
  </w:num>
  <w:num w:numId="14">
    <w:abstractNumId w:val="31"/>
  </w:num>
  <w:num w:numId="15">
    <w:abstractNumId w:val="2"/>
  </w:num>
  <w:num w:numId="16">
    <w:abstractNumId w:val="10"/>
  </w:num>
  <w:num w:numId="17">
    <w:abstractNumId w:val="13"/>
  </w:num>
  <w:num w:numId="18">
    <w:abstractNumId w:val="11"/>
  </w:num>
  <w:num w:numId="19">
    <w:abstractNumId w:val="4"/>
  </w:num>
  <w:num w:numId="20">
    <w:abstractNumId w:val="0"/>
  </w:num>
  <w:num w:numId="21">
    <w:abstractNumId w:val="24"/>
  </w:num>
  <w:num w:numId="22">
    <w:abstractNumId w:val="5"/>
  </w:num>
  <w:num w:numId="23">
    <w:abstractNumId w:val="28"/>
  </w:num>
  <w:num w:numId="24">
    <w:abstractNumId w:val="27"/>
  </w:num>
  <w:num w:numId="25">
    <w:abstractNumId w:val="6"/>
  </w:num>
  <w:num w:numId="26">
    <w:abstractNumId w:val="14"/>
  </w:num>
  <w:num w:numId="27">
    <w:abstractNumId w:val="12"/>
  </w:num>
  <w:num w:numId="28">
    <w:abstractNumId w:val="8"/>
  </w:num>
  <w:num w:numId="29">
    <w:abstractNumId w:val="26"/>
  </w:num>
  <w:num w:numId="30">
    <w:abstractNumId w:val="30"/>
  </w:num>
  <w:num w:numId="31">
    <w:abstractNumId w:val="29"/>
  </w:num>
  <w:num w:numId="32">
    <w:abstractNumId w:val="19"/>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5F8"/>
    <w:rsid w:val="000029F8"/>
    <w:rsid w:val="000061F3"/>
    <w:rsid w:val="00006DFB"/>
    <w:rsid w:val="00007838"/>
    <w:rsid w:val="00013ED0"/>
    <w:rsid w:val="0001680E"/>
    <w:rsid w:val="000175C9"/>
    <w:rsid w:val="0001769C"/>
    <w:rsid w:val="00022DC3"/>
    <w:rsid w:val="00023E0B"/>
    <w:rsid w:val="0002778B"/>
    <w:rsid w:val="00030552"/>
    <w:rsid w:val="0003522F"/>
    <w:rsid w:val="00044225"/>
    <w:rsid w:val="00044C1C"/>
    <w:rsid w:val="00046E35"/>
    <w:rsid w:val="00053B91"/>
    <w:rsid w:val="00053F26"/>
    <w:rsid w:val="000569CA"/>
    <w:rsid w:val="00060429"/>
    <w:rsid w:val="000611AA"/>
    <w:rsid w:val="00062EB1"/>
    <w:rsid w:val="00063A9C"/>
    <w:rsid w:val="000645F1"/>
    <w:rsid w:val="00066092"/>
    <w:rsid w:val="000728D5"/>
    <w:rsid w:val="000742F1"/>
    <w:rsid w:val="000760E7"/>
    <w:rsid w:val="00080934"/>
    <w:rsid w:val="0008228B"/>
    <w:rsid w:val="0008417C"/>
    <w:rsid w:val="00086889"/>
    <w:rsid w:val="00086DE7"/>
    <w:rsid w:val="00091218"/>
    <w:rsid w:val="000912BF"/>
    <w:rsid w:val="00091602"/>
    <w:rsid w:val="00092C82"/>
    <w:rsid w:val="000934BB"/>
    <w:rsid w:val="0009561D"/>
    <w:rsid w:val="00096228"/>
    <w:rsid w:val="00096E0A"/>
    <w:rsid w:val="000A29F8"/>
    <w:rsid w:val="000A2F2D"/>
    <w:rsid w:val="000A6DB0"/>
    <w:rsid w:val="000A7CFC"/>
    <w:rsid w:val="000B01AD"/>
    <w:rsid w:val="000B01E1"/>
    <w:rsid w:val="000B2074"/>
    <w:rsid w:val="000B29ED"/>
    <w:rsid w:val="000B4353"/>
    <w:rsid w:val="000B6670"/>
    <w:rsid w:val="000B6B4A"/>
    <w:rsid w:val="000B74EB"/>
    <w:rsid w:val="000B784E"/>
    <w:rsid w:val="000C2A44"/>
    <w:rsid w:val="000C485E"/>
    <w:rsid w:val="000C55C3"/>
    <w:rsid w:val="000C6ABA"/>
    <w:rsid w:val="000D25DB"/>
    <w:rsid w:val="000D26AE"/>
    <w:rsid w:val="000D351A"/>
    <w:rsid w:val="000D35A7"/>
    <w:rsid w:val="000D4BBE"/>
    <w:rsid w:val="000D4D31"/>
    <w:rsid w:val="000D51DA"/>
    <w:rsid w:val="000E02D3"/>
    <w:rsid w:val="000E2D49"/>
    <w:rsid w:val="000E394F"/>
    <w:rsid w:val="000E6BC5"/>
    <w:rsid w:val="000E6E13"/>
    <w:rsid w:val="000F26D9"/>
    <w:rsid w:val="000F448C"/>
    <w:rsid w:val="000F6C5D"/>
    <w:rsid w:val="000F6C71"/>
    <w:rsid w:val="000F7A31"/>
    <w:rsid w:val="00100DD7"/>
    <w:rsid w:val="00112D56"/>
    <w:rsid w:val="00112FE5"/>
    <w:rsid w:val="00113F56"/>
    <w:rsid w:val="0011458C"/>
    <w:rsid w:val="00116115"/>
    <w:rsid w:val="00117025"/>
    <w:rsid w:val="0012277B"/>
    <w:rsid w:val="00123440"/>
    <w:rsid w:val="00123761"/>
    <w:rsid w:val="001271D9"/>
    <w:rsid w:val="001314BF"/>
    <w:rsid w:val="00132710"/>
    <w:rsid w:val="001341D6"/>
    <w:rsid w:val="00140664"/>
    <w:rsid w:val="00140B5F"/>
    <w:rsid w:val="00141C57"/>
    <w:rsid w:val="00142887"/>
    <w:rsid w:val="00143ED4"/>
    <w:rsid w:val="00145B6C"/>
    <w:rsid w:val="0014688E"/>
    <w:rsid w:val="00146D78"/>
    <w:rsid w:val="00147679"/>
    <w:rsid w:val="00151A26"/>
    <w:rsid w:val="00151ADA"/>
    <w:rsid w:val="00153639"/>
    <w:rsid w:val="001558FF"/>
    <w:rsid w:val="00156E84"/>
    <w:rsid w:val="0016096E"/>
    <w:rsid w:val="00162F41"/>
    <w:rsid w:val="00165087"/>
    <w:rsid w:val="001669E2"/>
    <w:rsid w:val="00166FCF"/>
    <w:rsid w:val="00170E91"/>
    <w:rsid w:val="00172A27"/>
    <w:rsid w:val="001807A5"/>
    <w:rsid w:val="00182B22"/>
    <w:rsid w:val="001832AD"/>
    <w:rsid w:val="00184ABE"/>
    <w:rsid w:val="001858AE"/>
    <w:rsid w:val="00185B6E"/>
    <w:rsid w:val="00190697"/>
    <w:rsid w:val="00193B6E"/>
    <w:rsid w:val="001A1AFD"/>
    <w:rsid w:val="001A5AB2"/>
    <w:rsid w:val="001B1D5C"/>
    <w:rsid w:val="001B1EE2"/>
    <w:rsid w:val="001B30A8"/>
    <w:rsid w:val="001B451B"/>
    <w:rsid w:val="001B5EB7"/>
    <w:rsid w:val="001C2E59"/>
    <w:rsid w:val="001C3556"/>
    <w:rsid w:val="001C705E"/>
    <w:rsid w:val="001D241D"/>
    <w:rsid w:val="001D450B"/>
    <w:rsid w:val="001D69C5"/>
    <w:rsid w:val="001E2487"/>
    <w:rsid w:val="001E2D07"/>
    <w:rsid w:val="001E4215"/>
    <w:rsid w:val="001E7218"/>
    <w:rsid w:val="001E723A"/>
    <w:rsid w:val="001F2AEB"/>
    <w:rsid w:val="001F39C3"/>
    <w:rsid w:val="001F6F84"/>
    <w:rsid w:val="0020106A"/>
    <w:rsid w:val="00203640"/>
    <w:rsid w:val="00203F4D"/>
    <w:rsid w:val="0020564E"/>
    <w:rsid w:val="002116D7"/>
    <w:rsid w:val="00211820"/>
    <w:rsid w:val="00213BC9"/>
    <w:rsid w:val="002145BB"/>
    <w:rsid w:val="002228EC"/>
    <w:rsid w:val="002239A5"/>
    <w:rsid w:val="002252D8"/>
    <w:rsid w:val="00226549"/>
    <w:rsid w:val="00227182"/>
    <w:rsid w:val="00231040"/>
    <w:rsid w:val="0023166B"/>
    <w:rsid w:val="002375EC"/>
    <w:rsid w:val="00237602"/>
    <w:rsid w:val="002426A9"/>
    <w:rsid w:val="00244A9D"/>
    <w:rsid w:val="00245F6F"/>
    <w:rsid w:val="00250D61"/>
    <w:rsid w:val="00250DC1"/>
    <w:rsid w:val="00254CD7"/>
    <w:rsid w:val="00255B47"/>
    <w:rsid w:val="0025789A"/>
    <w:rsid w:val="00260E13"/>
    <w:rsid w:val="002619DE"/>
    <w:rsid w:val="00263952"/>
    <w:rsid w:val="00264069"/>
    <w:rsid w:val="0026460C"/>
    <w:rsid w:val="002706DD"/>
    <w:rsid w:val="0027613F"/>
    <w:rsid w:val="00280402"/>
    <w:rsid w:val="0028041F"/>
    <w:rsid w:val="00281C07"/>
    <w:rsid w:val="002825BB"/>
    <w:rsid w:val="00291127"/>
    <w:rsid w:val="00291D7B"/>
    <w:rsid w:val="00292326"/>
    <w:rsid w:val="002A5824"/>
    <w:rsid w:val="002A7187"/>
    <w:rsid w:val="002A7F3A"/>
    <w:rsid w:val="002B23D1"/>
    <w:rsid w:val="002B397F"/>
    <w:rsid w:val="002B5F39"/>
    <w:rsid w:val="002B6288"/>
    <w:rsid w:val="002C1CD1"/>
    <w:rsid w:val="002C228D"/>
    <w:rsid w:val="002C4F3D"/>
    <w:rsid w:val="002C69A2"/>
    <w:rsid w:val="002C6F6F"/>
    <w:rsid w:val="002D235A"/>
    <w:rsid w:val="002D2B23"/>
    <w:rsid w:val="002D2E3B"/>
    <w:rsid w:val="002D3412"/>
    <w:rsid w:val="002D6790"/>
    <w:rsid w:val="002D7156"/>
    <w:rsid w:val="002D7CC0"/>
    <w:rsid w:val="002E088C"/>
    <w:rsid w:val="002E2E17"/>
    <w:rsid w:val="002E34A4"/>
    <w:rsid w:val="002E7ECC"/>
    <w:rsid w:val="002F2BEB"/>
    <w:rsid w:val="002F3C12"/>
    <w:rsid w:val="002F40A6"/>
    <w:rsid w:val="002F40B5"/>
    <w:rsid w:val="002F450A"/>
    <w:rsid w:val="002F4751"/>
    <w:rsid w:val="002F5BF3"/>
    <w:rsid w:val="002F6403"/>
    <w:rsid w:val="002F6ABB"/>
    <w:rsid w:val="00300198"/>
    <w:rsid w:val="003015C6"/>
    <w:rsid w:val="003021BC"/>
    <w:rsid w:val="003021E7"/>
    <w:rsid w:val="00302327"/>
    <w:rsid w:val="00304CF1"/>
    <w:rsid w:val="003052CC"/>
    <w:rsid w:val="00315387"/>
    <w:rsid w:val="00316692"/>
    <w:rsid w:val="00316974"/>
    <w:rsid w:val="00322216"/>
    <w:rsid w:val="00324F1B"/>
    <w:rsid w:val="0032617E"/>
    <w:rsid w:val="003261C6"/>
    <w:rsid w:val="003265CC"/>
    <w:rsid w:val="003269AB"/>
    <w:rsid w:val="00327C6E"/>
    <w:rsid w:val="0033105F"/>
    <w:rsid w:val="00332B0E"/>
    <w:rsid w:val="00332E9E"/>
    <w:rsid w:val="00337D05"/>
    <w:rsid w:val="003448EE"/>
    <w:rsid w:val="003473B9"/>
    <w:rsid w:val="00347561"/>
    <w:rsid w:val="003514C4"/>
    <w:rsid w:val="0035168E"/>
    <w:rsid w:val="0035297E"/>
    <w:rsid w:val="00353E81"/>
    <w:rsid w:val="0035526C"/>
    <w:rsid w:val="00355F53"/>
    <w:rsid w:val="00356689"/>
    <w:rsid w:val="003571DA"/>
    <w:rsid w:val="00361164"/>
    <w:rsid w:val="003614BC"/>
    <w:rsid w:val="00362B6F"/>
    <w:rsid w:val="00363B0C"/>
    <w:rsid w:val="00367079"/>
    <w:rsid w:val="00371A31"/>
    <w:rsid w:val="00371D15"/>
    <w:rsid w:val="003726CA"/>
    <w:rsid w:val="0037445C"/>
    <w:rsid w:val="00375E02"/>
    <w:rsid w:val="00377406"/>
    <w:rsid w:val="0038572F"/>
    <w:rsid w:val="00386687"/>
    <w:rsid w:val="0038676B"/>
    <w:rsid w:val="00387D5C"/>
    <w:rsid w:val="003924BD"/>
    <w:rsid w:val="003932B8"/>
    <w:rsid w:val="0039353B"/>
    <w:rsid w:val="00395AF7"/>
    <w:rsid w:val="00395CE6"/>
    <w:rsid w:val="003A019E"/>
    <w:rsid w:val="003A06F0"/>
    <w:rsid w:val="003A0999"/>
    <w:rsid w:val="003A2484"/>
    <w:rsid w:val="003A613D"/>
    <w:rsid w:val="003B1CB6"/>
    <w:rsid w:val="003B2A80"/>
    <w:rsid w:val="003B3A9E"/>
    <w:rsid w:val="003B6EE6"/>
    <w:rsid w:val="003C4A76"/>
    <w:rsid w:val="003C561F"/>
    <w:rsid w:val="003C5855"/>
    <w:rsid w:val="003D1374"/>
    <w:rsid w:val="003D1531"/>
    <w:rsid w:val="003D31EA"/>
    <w:rsid w:val="003D368A"/>
    <w:rsid w:val="003D443D"/>
    <w:rsid w:val="003D6061"/>
    <w:rsid w:val="003E6749"/>
    <w:rsid w:val="003F15F1"/>
    <w:rsid w:val="003F308A"/>
    <w:rsid w:val="003F3DDE"/>
    <w:rsid w:val="003F4894"/>
    <w:rsid w:val="003F546A"/>
    <w:rsid w:val="003F7D80"/>
    <w:rsid w:val="00401050"/>
    <w:rsid w:val="004012EB"/>
    <w:rsid w:val="00401E9C"/>
    <w:rsid w:val="00404494"/>
    <w:rsid w:val="00404CEB"/>
    <w:rsid w:val="00407F2B"/>
    <w:rsid w:val="00411565"/>
    <w:rsid w:val="00411C9F"/>
    <w:rsid w:val="0041204E"/>
    <w:rsid w:val="0041243C"/>
    <w:rsid w:val="004137E7"/>
    <w:rsid w:val="00426667"/>
    <w:rsid w:val="004270F6"/>
    <w:rsid w:val="00430843"/>
    <w:rsid w:val="00431273"/>
    <w:rsid w:val="0043308A"/>
    <w:rsid w:val="00435F87"/>
    <w:rsid w:val="00436C04"/>
    <w:rsid w:val="004403B8"/>
    <w:rsid w:val="00441BFE"/>
    <w:rsid w:val="00442314"/>
    <w:rsid w:val="00442C41"/>
    <w:rsid w:val="00443CB1"/>
    <w:rsid w:val="00443EFD"/>
    <w:rsid w:val="00451850"/>
    <w:rsid w:val="00452063"/>
    <w:rsid w:val="0045454B"/>
    <w:rsid w:val="004559DF"/>
    <w:rsid w:val="00461F05"/>
    <w:rsid w:val="004642D5"/>
    <w:rsid w:val="004646A8"/>
    <w:rsid w:val="0046516E"/>
    <w:rsid w:val="004664C8"/>
    <w:rsid w:val="0047124B"/>
    <w:rsid w:val="00472E27"/>
    <w:rsid w:val="004778E9"/>
    <w:rsid w:val="00477AE5"/>
    <w:rsid w:val="00481BE2"/>
    <w:rsid w:val="00481FAF"/>
    <w:rsid w:val="00483E8A"/>
    <w:rsid w:val="00493376"/>
    <w:rsid w:val="00494834"/>
    <w:rsid w:val="0049496B"/>
    <w:rsid w:val="00496132"/>
    <w:rsid w:val="004A06EC"/>
    <w:rsid w:val="004A0857"/>
    <w:rsid w:val="004A1D23"/>
    <w:rsid w:val="004A4F9E"/>
    <w:rsid w:val="004A6A9E"/>
    <w:rsid w:val="004A796F"/>
    <w:rsid w:val="004B0231"/>
    <w:rsid w:val="004B5B98"/>
    <w:rsid w:val="004C1E15"/>
    <w:rsid w:val="004C3BA2"/>
    <w:rsid w:val="004C53EC"/>
    <w:rsid w:val="004C7C08"/>
    <w:rsid w:val="004D0603"/>
    <w:rsid w:val="004D3FF3"/>
    <w:rsid w:val="004D6A69"/>
    <w:rsid w:val="004E4EE7"/>
    <w:rsid w:val="004F127D"/>
    <w:rsid w:val="004F1375"/>
    <w:rsid w:val="004F2DAD"/>
    <w:rsid w:val="004F3217"/>
    <w:rsid w:val="004F6A20"/>
    <w:rsid w:val="00502AB7"/>
    <w:rsid w:val="00502F94"/>
    <w:rsid w:val="005046FC"/>
    <w:rsid w:val="00505402"/>
    <w:rsid w:val="005134DC"/>
    <w:rsid w:val="00513F39"/>
    <w:rsid w:val="00513FB9"/>
    <w:rsid w:val="005174FA"/>
    <w:rsid w:val="005239C6"/>
    <w:rsid w:val="00523CAF"/>
    <w:rsid w:val="005251CB"/>
    <w:rsid w:val="00526515"/>
    <w:rsid w:val="00533031"/>
    <w:rsid w:val="00536E52"/>
    <w:rsid w:val="00536FE4"/>
    <w:rsid w:val="0054068A"/>
    <w:rsid w:val="005413AC"/>
    <w:rsid w:val="005423FA"/>
    <w:rsid w:val="00542C51"/>
    <w:rsid w:val="00543732"/>
    <w:rsid w:val="00545235"/>
    <w:rsid w:val="0054630D"/>
    <w:rsid w:val="00546402"/>
    <w:rsid w:val="00546757"/>
    <w:rsid w:val="0054677D"/>
    <w:rsid w:val="00546D4B"/>
    <w:rsid w:val="00547B69"/>
    <w:rsid w:val="00552056"/>
    <w:rsid w:val="005523BA"/>
    <w:rsid w:val="005523EB"/>
    <w:rsid w:val="0055320A"/>
    <w:rsid w:val="0055409D"/>
    <w:rsid w:val="005540BB"/>
    <w:rsid w:val="0055587F"/>
    <w:rsid w:val="005566FB"/>
    <w:rsid w:val="00556729"/>
    <w:rsid w:val="0056078D"/>
    <w:rsid w:val="0056352A"/>
    <w:rsid w:val="00564B4F"/>
    <w:rsid w:val="00565C66"/>
    <w:rsid w:val="00571A21"/>
    <w:rsid w:val="00572EBD"/>
    <w:rsid w:val="005805B6"/>
    <w:rsid w:val="0058148E"/>
    <w:rsid w:val="00581C39"/>
    <w:rsid w:val="00582850"/>
    <w:rsid w:val="00583907"/>
    <w:rsid w:val="00583C64"/>
    <w:rsid w:val="00584C04"/>
    <w:rsid w:val="00584C2E"/>
    <w:rsid w:val="005850F6"/>
    <w:rsid w:val="0059171D"/>
    <w:rsid w:val="005A0297"/>
    <w:rsid w:val="005A0C95"/>
    <w:rsid w:val="005A0D20"/>
    <w:rsid w:val="005A5093"/>
    <w:rsid w:val="005A5F19"/>
    <w:rsid w:val="005B0A0B"/>
    <w:rsid w:val="005B1ED0"/>
    <w:rsid w:val="005B236B"/>
    <w:rsid w:val="005B3EBC"/>
    <w:rsid w:val="005B590E"/>
    <w:rsid w:val="005B6F81"/>
    <w:rsid w:val="005B7266"/>
    <w:rsid w:val="005C55CC"/>
    <w:rsid w:val="005C5A8B"/>
    <w:rsid w:val="005C5F66"/>
    <w:rsid w:val="005C6810"/>
    <w:rsid w:val="005D14B4"/>
    <w:rsid w:val="005D1779"/>
    <w:rsid w:val="005D27C3"/>
    <w:rsid w:val="005D58E8"/>
    <w:rsid w:val="005D73B2"/>
    <w:rsid w:val="005E0A38"/>
    <w:rsid w:val="005E34BA"/>
    <w:rsid w:val="005E3802"/>
    <w:rsid w:val="005E3A60"/>
    <w:rsid w:val="005E3CF2"/>
    <w:rsid w:val="005E792F"/>
    <w:rsid w:val="005F1FAB"/>
    <w:rsid w:val="005F2AC2"/>
    <w:rsid w:val="00601512"/>
    <w:rsid w:val="00606FB9"/>
    <w:rsid w:val="00607BA4"/>
    <w:rsid w:val="00612BEA"/>
    <w:rsid w:val="00614B2F"/>
    <w:rsid w:val="006229DF"/>
    <w:rsid w:val="0062737D"/>
    <w:rsid w:val="0062789C"/>
    <w:rsid w:val="00627A41"/>
    <w:rsid w:val="00627E79"/>
    <w:rsid w:val="00633D03"/>
    <w:rsid w:val="00636A4D"/>
    <w:rsid w:val="00640432"/>
    <w:rsid w:val="006414D2"/>
    <w:rsid w:val="00641633"/>
    <w:rsid w:val="00641D0C"/>
    <w:rsid w:val="0064438D"/>
    <w:rsid w:val="00645506"/>
    <w:rsid w:val="00646372"/>
    <w:rsid w:val="00650039"/>
    <w:rsid w:val="00652882"/>
    <w:rsid w:val="00653565"/>
    <w:rsid w:val="006562BC"/>
    <w:rsid w:val="00656677"/>
    <w:rsid w:val="006601BB"/>
    <w:rsid w:val="0066076A"/>
    <w:rsid w:val="00661CB3"/>
    <w:rsid w:val="006644A7"/>
    <w:rsid w:val="0067057C"/>
    <w:rsid w:val="00671DE8"/>
    <w:rsid w:val="00671F51"/>
    <w:rsid w:val="006725BF"/>
    <w:rsid w:val="0067281F"/>
    <w:rsid w:val="00677C7B"/>
    <w:rsid w:val="006837A6"/>
    <w:rsid w:val="0068523B"/>
    <w:rsid w:val="00686328"/>
    <w:rsid w:val="006875F8"/>
    <w:rsid w:val="00690F03"/>
    <w:rsid w:val="0069222C"/>
    <w:rsid w:val="00693BF7"/>
    <w:rsid w:val="00694EE7"/>
    <w:rsid w:val="006A0658"/>
    <w:rsid w:val="006A15EC"/>
    <w:rsid w:val="006A5705"/>
    <w:rsid w:val="006A5D42"/>
    <w:rsid w:val="006B15E1"/>
    <w:rsid w:val="006B4100"/>
    <w:rsid w:val="006B46F8"/>
    <w:rsid w:val="006B648E"/>
    <w:rsid w:val="006B732E"/>
    <w:rsid w:val="006C18B1"/>
    <w:rsid w:val="006C208E"/>
    <w:rsid w:val="006C254C"/>
    <w:rsid w:val="006C4368"/>
    <w:rsid w:val="006C54B5"/>
    <w:rsid w:val="006C5ACB"/>
    <w:rsid w:val="006C5EFD"/>
    <w:rsid w:val="006D0623"/>
    <w:rsid w:val="006D0A35"/>
    <w:rsid w:val="006D0B96"/>
    <w:rsid w:val="006D0DA7"/>
    <w:rsid w:val="006D0EB5"/>
    <w:rsid w:val="006D29EE"/>
    <w:rsid w:val="006D51D2"/>
    <w:rsid w:val="006E2F88"/>
    <w:rsid w:val="006E3F38"/>
    <w:rsid w:val="006E4E52"/>
    <w:rsid w:val="006E6315"/>
    <w:rsid w:val="006E652B"/>
    <w:rsid w:val="006E6F3A"/>
    <w:rsid w:val="006F05F9"/>
    <w:rsid w:val="006F07EE"/>
    <w:rsid w:val="006F2D52"/>
    <w:rsid w:val="006F6126"/>
    <w:rsid w:val="006F74FB"/>
    <w:rsid w:val="006F7E7E"/>
    <w:rsid w:val="007004F7"/>
    <w:rsid w:val="00707720"/>
    <w:rsid w:val="00707FB4"/>
    <w:rsid w:val="007105C7"/>
    <w:rsid w:val="00710C38"/>
    <w:rsid w:val="00712FF0"/>
    <w:rsid w:val="00713993"/>
    <w:rsid w:val="00715469"/>
    <w:rsid w:val="00717475"/>
    <w:rsid w:val="00722929"/>
    <w:rsid w:val="00723ACB"/>
    <w:rsid w:val="0072474B"/>
    <w:rsid w:val="00724C13"/>
    <w:rsid w:val="00726DC1"/>
    <w:rsid w:val="0072739A"/>
    <w:rsid w:val="0072793C"/>
    <w:rsid w:val="00730605"/>
    <w:rsid w:val="007376B0"/>
    <w:rsid w:val="0074248E"/>
    <w:rsid w:val="00742A99"/>
    <w:rsid w:val="00742CB5"/>
    <w:rsid w:val="0074422A"/>
    <w:rsid w:val="00744844"/>
    <w:rsid w:val="007471B8"/>
    <w:rsid w:val="00754DA9"/>
    <w:rsid w:val="00757445"/>
    <w:rsid w:val="007602DD"/>
    <w:rsid w:val="00760C65"/>
    <w:rsid w:val="00762774"/>
    <w:rsid w:val="00762D20"/>
    <w:rsid w:val="007636CA"/>
    <w:rsid w:val="00764F97"/>
    <w:rsid w:val="00765391"/>
    <w:rsid w:val="00765935"/>
    <w:rsid w:val="007671DF"/>
    <w:rsid w:val="00770304"/>
    <w:rsid w:val="007707A9"/>
    <w:rsid w:val="00773BDD"/>
    <w:rsid w:val="007754A8"/>
    <w:rsid w:val="00775DEB"/>
    <w:rsid w:val="0078482A"/>
    <w:rsid w:val="00784B04"/>
    <w:rsid w:val="007856FE"/>
    <w:rsid w:val="00785711"/>
    <w:rsid w:val="007859D2"/>
    <w:rsid w:val="007865F4"/>
    <w:rsid w:val="00786D89"/>
    <w:rsid w:val="007870DB"/>
    <w:rsid w:val="00787891"/>
    <w:rsid w:val="00795609"/>
    <w:rsid w:val="007A310C"/>
    <w:rsid w:val="007A5CC4"/>
    <w:rsid w:val="007A6E32"/>
    <w:rsid w:val="007B27D5"/>
    <w:rsid w:val="007B6981"/>
    <w:rsid w:val="007C0785"/>
    <w:rsid w:val="007C0EBE"/>
    <w:rsid w:val="007C14DF"/>
    <w:rsid w:val="007C1B41"/>
    <w:rsid w:val="007C2158"/>
    <w:rsid w:val="007C2772"/>
    <w:rsid w:val="007C3089"/>
    <w:rsid w:val="007C3A4F"/>
    <w:rsid w:val="007C5671"/>
    <w:rsid w:val="007C5798"/>
    <w:rsid w:val="007C5A70"/>
    <w:rsid w:val="007C6C05"/>
    <w:rsid w:val="007C715D"/>
    <w:rsid w:val="007D0872"/>
    <w:rsid w:val="007E31B6"/>
    <w:rsid w:val="007E396D"/>
    <w:rsid w:val="007E4DDA"/>
    <w:rsid w:val="007E6355"/>
    <w:rsid w:val="007F26AE"/>
    <w:rsid w:val="007F2B87"/>
    <w:rsid w:val="007F4D4F"/>
    <w:rsid w:val="007F5063"/>
    <w:rsid w:val="007F5EA4"/>
    <w:rsid w:val="007F7BF0"/>
    <w:rsid w:val="00800FA0"/>
    <w:rsid w:val="0080796F"/>
    <w:rsid w:val="008124B2"/>
    <w:rsid w:val="00813D01"/>
    <w:rsid w:val="0082023B"/>
    <w:rsid w:val="0082060A"/>
    <w:rsid w:val="00820997"/>
    <w:rsid w:val="0082320C"/>
    <w:rsid w:val="008278EB"/>
    <w:rsid w:val="00827AB1"/>
    <w:rsid w:val="00827FA3"/>
    <w:rsid w:val="0083093B"/>
    <w:rsid w:val="00834F27"/>
    <w:rsid w:val="00836E61"/>
    <w:rsid w:val="0084107C"/>
    <w:rsid w:val="00845E56"/>
    <w:rsid w:val="00846601"/>
    <w:rsid w:val="00852B3A"/>
    <w:rsid w:val="00856B4C"/>
    <w:rsid w:val="008612B7"/>
    <w:rsid w:val="0086464F"/>
    <w:rsid w:val="00872B63"/>
    <w:rsid w:val="00877278"/>
    <w:rsid w:val="00877403"/>
    <w:rsid w:val="00885C0D"/>
    <w:rsid w:val="0089194A"/>
    <w:rsid w:val="00892214"/>
    <w:rsid w:val="0089459A"/>
    <w:rsid w:val="008977D1"/>
    <w:rsid w:val="00897C1F"/>
    <w:rsid w:val="008A4796"/>
    <w:rsid w:val="008A5039"/>
    <w:rsid w:val="008A58A3"/>
    <w:rsid w:val="008A6355"/>
    <w:rsid w:val="008A6E8E"/>
    <w:rsid w:val="008B0433"/>
    <w:rsid w:val="008B4F9F"/>
    <w:rsid w:val="008B7764"/>
    <w:rsid w:val="008B7B4D"/>
    <w:rsid w:val="008C0D92"/>
    <w:rsid w:val="008C369B"/>
    <w:rsid w:val="008C58CB"/>
    <w:rsid w:val="008D13D0"/>
    <w:rsid w:val="008D26C0"/>
    <w:rsid w:val="008D4C9B"/>
    <w:rsid w:val="008D5ABF"/>
    <w:rsid w:val="008F2B74"/>
    <w:rsid w:val="008F2FA4"/>
    <w:rsid w:val="008F3BA5"/>
    <w:rsid w:val="008F469E"/>
    <w:rsid w:val="008F58A3"/>
    <w:rsid w:val="008F5B45"/>
    <w:rsid w:val="008F638E"/>
    <w:rsid w:val="008F7112"/>
    <w:rsid w:val="00903778"/>
    <w:rsid w:val="009051BF"/>
    <w:rsid w:val="0090633F"/>
    <w:rsid w:val="0091123B"/>
    <w:rsid w:val="0091339A"/>
    <w:rsid w:val="00913ECC"/>
    <w:rsid w:val="00915247"/>
    <w:rsid w:val="009216F5"/>
    <w:rsid w:val="00922828"/>
    <w:rsid w:val="00930740"/>
    <w:rsid w:val="00931782"/>
    <w:rsid w:val="009330EB"/>
    <w:rsid w:val="009353F8"/>
    <w:rsid w:val="009354B7"/>
    <w:rsid w:val="0093550E"/>
    <w:rsid w:val="009373A7"/>
    <w:rsid w:val="009378E1"/>
    <w:rsid w:val="00942B36"/>
    <w:rsid w:val="00942E91"/>
    <w:rsid w:val="009434F5"/>
    <w:rsid w:val="00943F5B"/>
    <w:rsid w:val="009440F2"/>
    <w:rsid w:val="00944494"/>
    <w:rsid w:val="00950B4E"/>
    <w:rsid w:val="00956DF2"/>
    <w:rsid w:val="0095744B"/>
    <w:rsid w:val="00960277"/>
    <w:rsid w:val="00960B62"/>
    <w:rsid w:val="00960D7A"/>
    <w:rsid w:val="00961677"/>
    <w:rsid w:val="009618F8"/>
    <w:rsid w:val="00962771"/>
    <w:rsid w:val="00965141"/>
    <w:rsid w:val="00966453"/>
    <w:rsid w:val="009665A3"/>
    <w:rsid w:val="00966B1D"/>
    <w:rsid w:val="00971EC6"/>
    <w:rsid w:val="009756EB"/>
    <w:rsid w:val="009777DA"/>
    <w:rsid w:val="00983616"/>
    <w:rsid w:val="00983BEF"/>
    <w:rsid w:val="00985B1F"/>
    <w:rsid w:val="00987274"/>
    <w:rsid w:val="00987F0C"/>
    <w:rsid w:val="00995194"/>
    <w:rsid w:val="009954E7"/>
    <w:rsid w:val="00995CE6"/>
    <w:rsid w:val="009A05DF"/>
    <w:rsid w:val="009A1039"/>
    <w:rsid w:val="009A1131"/>
    <w:rsid w:val="009A4CB9"/>
    <w:rsid w:val="009B2BDC"/>
    <w:rsid w:val="009B2E78"/>
    <w:rsid w:val="009B3AA0"/>
    <w:rsid w:val="009B3DF2"/>
    <w:rsid w:val="009B3FE0"/>
    <w:rsid w:val="009B54E5"/>
    <w:rsid w:val="009B5592"/>
    <w:rsid w:val="009B5622"/>
    <w:rsid w:val="009B7EC0"/>
    <w:rsid w:val="009C074A"/>
    <w:rsid w:val="009C3DC4"/>
    <w:rsid w:val="009D06FB"/>
    <w:rsid w:val="009D2A7E"/>
    <w:rsid w:val="009D476D"/>
    <w:rsid w:val="009E17C6"/>
    <w:rsid w:val="009E1CB8"/>
    <w:rsid w:val="009E46BD"/>
    <w:rsid w:val="009F0221"/>
    <w:rsid w:val="009F0A72"/>
    <w:rsid w:val="009F1C21"/>
    <w:rsid w:val="00A00E67"/>
    <w:rsid w:val="00A03D6A"/>
    <w:rsid w:val="00A07971"/>
    <w:rsid w:val="00A10F73"/>
    <w:rsid w:val="00A12E0D"/>
    <w:rsid w:val="00A139A5"/>
    <w:rsid w:val="00A15086"/>
    <w:rsid w:val="00A16605"/>
    <w:rsid w:val="00A16F89"/>
    <w:rsid w:val="00A171E2"/>
    <w:rsid w:val="00A2184B"/>
    <w:rsid w:val="00A22F83"/>
    <w:rsid w:val="00A23475"/>
    <w:rsid w:val="00A258CE"/>
    <w:rsid w:val="00A273B1"/>
    <w:rsid w:val="00A302AB"/>
    <w:rsid w:val="00A33966"/>
    <w:rsid w:val="00A34CDE"/>
    <w:rsid w:val="00A359BC"/>
    <w:rsid w:val="00A412F7"/>
    <w:rsid w:val="00A45B52"/>
    <w:rsid w:val="00A50BCC"/>
    <w:rsid w:val="00A527A3"/>
    <w:rsid w:val="00A5284A"/>
    <w:rsid w:val="00A53F63"/>
    <w:rsid w:val="00A554C8"/>
    <w:rsid w:val="00A62C4D"/>
    <w:rsid w:val="00A62D6E"/>
    <w:rsid w:val="00A6368B"/>
    <w:rsid w:val="00A648B6"/>
    <w:rsid w:val="00A661C4"/>
    <w:rsid w:val="00A66A66"/>
    <w:rsid w:val="00A66AA9"/>
    <w:rsid w:val="00A70661"/>
    <w:rsid w:val="00A710A2"/>
    <w:rsid w:val="00A73038"/>
    <w:rsid w:val="00A75883"/>
    <w:rsid w:val="00A80C61"/>
    <w:rsid w:val="00A81F36"/>
    <w:rsid w:val="00A831D4"/>
    <w:rsid w:val="00A84D6D"/>
    <w:rsid w:val="00A86292"/>
    <w:rsid w:val="00A94C82"/>
    <w:rsid w:val="00A95648"/>
    <w:rsid w:val="00AA0FD8"/>
    <w:rsid w:val="00AA100D"/>
    <w:rsid w:val="00AA12E6"/>
    <w:rsid w:val="00AA22BF"/>
    <w:rsid w:val="00AA2682"/>
    <w:rsid w:val="00AA642E"/>
    <w:rsid w:val="00AA73E9"/>
    <w:rsid w:val="00AB3427"/>
    <w:rsid w:val="00AB5275"/>
    <w:rsid w:val="00AB571D"/>
    <w:rsid w:val="00AB5732"/>
    <w:rsid w:val="00AC1969"/>
    <w:rsid w:val="00AC1B39"/>
    <w:rsid w:val="00AC22C3"/>
    <w:rsid w:val="00AD5257"/>
    <w:rsid w:val="00AE0EA0"/>
    <w:rsid w:val="00AE2431"/>
    <w:rsid w:val="00AE274B"/>
    <w:rsid w:val="00AE5046"/>
    <w:rsid w:val="00AE6B61"/>
    <w:rsid w:val="00AE7BD9"/>
    <w:rsid w:val="00AF1059"/>
    <w:rsid w:val="00AF5E32"/>
    <w:rsid w:val="00AF6C26"/>
    <w:rsid w:val="00AF776D"/>
    <w:rsid w:val="00AF7F82"/>
    <w:rsid w:val="00B01CE7"/>
    <w:rsid w:val="00B02889"/>
    <w:rsid w:val="00B05782"/>
    <w:rsid w:val="00B057F6"/>
    <w:rsid w:val="00B14B93"/>
    <w:rsid w:val="00B15366"/>
    <w:rsid w:val="00B15697"/>
    <w:rsid w:val="00B226BA"/>
    <w:rsid w:val="00B232C6"/>
    <w:rsid w:val="00B2703F"/>
    <w:rsid w:val="00B2740D"/>
    <w:rsid w:val="00B3097A"/>
    <w:rsid w:val="00B30BBF"/>
    <w:rsid w:val="00B3107C"/>
    <w:rsid w:val="00B32275"/>
    <w:rsid w:val="00B32371"/>
    <w:rsid w:val="00B3274B"/>
    <w:rsid w:val="00B348BB"/>
    <w:rsid w:val="00B379EB"/>
    <w:rsid w:val="00B442F5"/>
    <w:rsid w:val="00B450DD"/>
    <w:rsid w:val="00B454DD"/>
    <w:rsid w:val="00B50680"/>
    <w:rsid w:val="00B53134"/>
    <w:rsid w:val="00B54E39"/>
    <w:rsid w:val="00B607B0"/>
    <w:rsid w:val="00B607EB"/>
    <w:rsid w:val="00B60873"/>
    <w:rsid w:val="00B62A2D"/>
    <w:rsid w:val="00B63079"/>
    <w:rsid w:val="00B664A0"/>
    <w:rsid w:val="00B67E8A"/>
    <w:rsid w:val="00B70CD3"/>
    <w:rsid w:val="00B74540"/>
    <w:rsid w:val="00B76CD0"/>
    <w:rsid w:val="00B80418"/>
    <w:rsid w:val="00B815A1"/>
    <w:rsid w:val="00B82087"/>
    <w:rsid w:val="00B82429"/>
    <w:rsid w:val="00B835B9"/>
    <w:rsid w:val="00B83DE1"/>
    <w:rsid w:val="00B8401A"/>
    <w:rsid w:val="00B85D1B"/>
    <w:rsid w:val="00B92AA4"/>
    <w:rsid w:val="00B93010"/>
    <w:rsid w:val="00B94042"/>
    <w:rsid w:val="00B94287"/>
    <w:rsid w:val="00B95A3F"/>
    <w:rsid w:val="00B978A9"/>
    <w:rsid w:val="00BA05AE"/>
    <w:rsid w:val="00BA2733"/>
    <w:rsid w:val="00BA2D46"/>
    <w:rsid w:val="00BA47CD"/>
    <w:rsid w:val="00BA4CAB"/>
    <w:rsid w:val="00BA6F52"/>
    <w:rsid w:val="00BA72BD"/>
    <w:rsid w:val="00BA7375"/>
    <w:rsid w:val="00BB14DA"/>
    <w:rsid w:val="00BB1F00"/>
    <w:rsid w:val="00BB2643"/>
    <w:rsid w:val="00BB2B06"/>
    <w:rsid w:val="00BB32AB"/>
    <w:rsid w:val="00BB3970"/>
    <w:rsid w:val="00BB46D6"/>
    <w:rsid w:val="00BB48DE"/>
    <w:rsid w:val="00BB518F"/>
    <w:rsid w:val="00BC122D"/>
    <w:rsid w:val="00BC18AA"/>
    <w:rsid w:val="00BC2F95"/>
    <w:rsid w:val="00BC442A"/>
    <w:rsid w:val="00BC4E1E"/>
    <w:rsid w:val="00BC61EB"/>
    <w:rsid w:val="00BD08CF"/>
    <w:rsid w:val="00BD14C1"/>
    <w:rsid w:val="00BD6A99"/>
    <w:rsid w:val="00BD7634"/>
    <w:rsid w:val="00BE3421"/>
    <w:rsid w:val="00BE58E6"/>
    <w:rsid w:val="00BE758F"/>
    <w:rsid w:val="00BE7AF6"/>
    <w:rsid w:val="00BE7B63"/>
    <w:rsid w:val="00BF0017"/>
    <w:rsid w:val="00BF03C7"/>
    <w:rsid w:val="00BF16DB"/>
    <w:rsid w:val="00BF435C"/>
    <w:rsid w:val="00BF636F"/>
    <w:rsid w:val="00BF64E8"/>
    <w:rsid w:val="00C0033B"/>
    <w:rsid w:val="00C02A3E"/>
    <w:rsid w:val="00C13735"/>
    <w:rsid w:val="00C17E3A"/>
    <w:rsid w:val="00C22018"/>
    <w:rsid w:val="00C239FB"/>
    <w:rsid w:val="00C24E0A"/>
    <w:rsid w:val="00C2563A"/>
    <w:rsid w:val="00C35F43"/>
    <w:rsid w:val="00C36BA3"/>
    <w:rsid w:val="00C36FEC"/>
    <w:rsid w:val="00C3789A"/>
    <w:rsid w:val="00C43465"/>
    <w:rsid w:val="00C4674C"/>
    <w:rsid w:val="00C515FF"/>
    <w:rsid w:val="00C5737B"/>
    <w:rsid w:val="00C57715"/>
    <w:rsid w:val="00C6054C"/>
    <w:rsid w:val="00C62371"/>
    <w:rsid w:val="00C667B7"/>
    <w:rsid w:val="00C678EA"/>
    <w:rsid w:val="00C704AB"/>
    <w:rsid w:val="00C73F56"/>
    <w:rsid w:val="00C74F4C"/>
    <w:rsid w:val="00C9266B"/>
    <w:rsid w:val="00C92F7E"/>
    <w:rsid w:val="00C93B3D"/>
    <w:rsid w:val="00C95E69"/>
    <w:rsid w:val="00C97301"/>
    <w:rsid w:val="00CA0EE4"/>
    <w:rsid w:val="00CA1614"/>
    <w:rsid w:val="00CA5A12"/>
    <w:rsid w:val="00CA6D72"/>
    <w:rsid w:val="00CA73CF"/>
    <w:rsid w:val="00CB0643"/>
    <w:rsid w:val="00CB1E94"/>
    <w:rsid w:val="00CB31C1"/>
    <w:rsid w:val="00CB4081"/>
    <w:rsid w:val="00CB4CC0"/>
    <w:rsid w:val="00CB5B67"/>
    <w:rsid w:val="00CC2C25"/>
    <w:rsid w:val="00CC311D"/>
    <w:rsid w:val="00CC34EF"/>
    <w:rsid w:val="00CC5E46"/>
    <w:rsid w:val="00CC6DD1"/>
    <w:rsid w:val="00CC7161"/>
    <w:rsid w:val="00CD1BC8"/>
    <w:rsid w:val="00CD1D41"/>
    <w:rsid w:val="00CD3BC4"/>
    <w:rsid w:val="00CD3C3D"/>
    <w:rsid w:val="00CD504E"/>
    <w:rsid w:val="00CD6458"/>
    <w:rsid w:val="00CD6CEE"/>
    <w:rsid w:val="00CD6D7C"/>
    <w:rsid w:val="00CD6E11"/>
    <w:rsid w:val="00CE0197"/>
    <w:rsid w:val="00CE0E24"/>
    <w:rsid w:val="00CE146C"/>
    <w:rsid w:val="00CE33EB"/>
    <w:rsid w:val="00CE5296"/>
    <w:rsid w:val="00CF2070"/>
    <w:rsid w:val="00CF2E17"/>
    <w:rsid w:val="00CF437B"/>
    <w:rsid w:val="00CF6D29"/>
    <w:rsid w:val="00CF7E31"/>
    <w:rsid w:val="00D02AF9"/>
    <w:rsid w:val="00D02B75"/>
    <w:rsid w:val="00D03588"/>
    <w:rsid w:val="00D0400E"/>
    <w:rsid w:val="00D04AC2"/>
    <w:rsid w:val="00D071B7"/>
    <w:rsid w:val="00D222CA"/>
    <w:rsid w:val="00D226C2"/>
    <w:rsid w:val="00D23300"/>
    <w:rsid w:val="00D250FC"/>
    <w:rsid w:val="00D37CC1"/>
    <w:rsid w:val="00D4182B"/>
    <w:rsid w:val="00D42353"/>
    <w:rsid w:val="00D42A58"/>
    <w:rsid w:val="00D43B43"/>
    <w:rsid w:val="00D454A7"/>
    <w:rsid w:val="00D4732E"/>
    <w:rsid w:val="00D524E2"/>
    <w:rsid w:val="00D527DE"/>
    <w:rsid w:val="00D54386"/>
    <w:rsid w:val="00D5677B"/>
    <w:rsid w:val="00D56BAA"/>
    <w:rsid w:val="00D60CDB"/>
    <w:rsid w:val="00D61B82"/>
    <w:rsid w:val="00D625F6"/>
    <w:rsid w:val="00D66D36"/>
    <w:rsid w:val="00D74A95"/>
    <w:rsid w:val="00D74EC8"/>
    <w:rsid w:val="00D75359"/>
    <w:rsid w:val="00D80AC2"/>
    <w:rsid w:val="00D82333"/>
    <w:rsid w:val="00D82785"/>
    <w:rsid w:val="00D82AF6"/>
    <w:rsid w:val="00D847F0"/>
    <w:rsid w:val="00D9009F"/>
    <w:rsid w:val="00D936D7"/>
    <w:rsid w:val="00D9518F"/>
    <w:rsid w:val="00DA128B"/>
    <w:rsid w:val="00DA1AEE"/>
    <w:rsid w:val="00DA21D4"/>
    <w:rsid w:val="00DA2425"/>
    <w:rsid w:val="00DA2453"/>
    <w:rsid w:val="00DA4ACB"/>
    <w:rsid w:val="00DA658E"/>
    <w:rsid w:val="00DA6656"/>
    <w:rsid w:val="00DA6834"/>
    <w:rsid w:val="00DB1297"/>
    <w:rsid w:val="00DB5523"/>
    <w:rsid w:val="00DC5D44"/>
    <w:rsid w:val="00DC78C9"/>
    <w:rsid w:val="00DC7E74"/>
    <w:rsid w:val="00DD0950"/>
    <w:rsid w:val="00DD191F"/>
    <w:rsid w:val="00DD38CF"/>
    <w:rsid w:val="00DD3BEA"/>
    <w:rsid w:val="00DD5E93"/>
    <w:rsid w:val="00DD5EC6"/>
    <w:rsid w:val="00DD670A"/>
    <w:rsid w:val="00DD6721"/>
    <w:rsid w:val="00DD6CB4"/>
    <w:rsid w:val="00DE73EC"/>
    <w:rsid w:val="00DE766A"/>
    <w:rsid w:val="00DF028F"/>
    <w:rsid w:val="00DF04D3"/>
    <w:rsid w:val="00DF3332"/>
    <w:rsid w:val="00DF7121"/>
    <w:rsid w:val="00E00A01"/>
    <w:rsid w:val="00E00D46"/>
    <w:rsid w:val="00E023A8"/>
    <w:rsid w:val="00E04223"/>
    <w:rsid w:val="00E06920"/>
    <w:rsid w:val="00E0776C"/>
    <w:rsid w:val="00E078B6"/>
    <w:rsid w:val="00E1091C"/>
    <w:rsid w:val="00E12472"/>
    <w:rsid w:val="00E130EB"/>
    <w:rsid w:val="00E147B1"/>
    <w:rsid w:val="00E168EE"/>
    <w:rsid w:val="00E17A46"/>
    <w:rsid w:val="00E20468"/>
    <w:rsid w:val="00E20B9B"/>
    <w:rsid w:val="00E218CC"/>
    <w:rsid w:val="00E24AE9"/>
    <w:rsid w:val="00E256C0"/>
    <w:rsid w:val="00E269E5"/>
    <w:rsid w:val="00E26DC3"/>
    <w:rsid w:val="00E27D42"/>
    <w:rsid w:val="00E30F1C"/>
    <w:rsid w:val="00E3292A"/>
    <w:rsid w:val="00E331B1"/>
    <w:rsid w:val="00E35FEC"/>
    <w:rsid w:val="00E36CFF"/>
    <w:rsid w:val="00E43D15"/>
    <w:rsid w:val="00E4607B"/>
    <w:rsid w:val="00E466F1"/>
    <w:rsid w:val="00E47264"/>
    <w:rsid w:val="00E47472"/>
    <w:rsid w:val="00E50A2D"/>
    <w:rsid w:val="00E50E65"/>
    <w:rsid w:val="00E50EA5"/>
    <w:rsid w:val="00E533AD"/>
    <w:rsid w:val="00E541AB"/>
    <w:rsid w:val="00E54E75"/>
    <w:rsid w:val="00E56E9E"/>
    <w:rsid w:val="00E61185"/>
    <w:rsid w:val="00E6521C"/>
    <w:rsid w:val="00E65817"/>
    <w:rsid w:val="00E65EAD"/>
    <w:rsid w:val="00E71ACF"/>
    <w:rsid w:val="00E7229A"/>
    <w:rsid w:val="00E737CE"/>
    <w:rsid w:val="00E74633"/>
    <w:rsid w:val="00E77A03"/>
    <w:rsid w:val="00E80768"/>
    <w:rsid w:val="00E84DAA"/>
    <w:rsid w:val="00E9057A"/>
    <w:rsid w:val="00E9148F"/>
    <w:rsid w:val="00E91DF9"/>
    <w:rsid w:val="00E9248F"/>
    <w:rsid w:val="00E97839"/>
    <w:rsid w:val="00EA1ADF"/>
    <w:rsid w:val="00EA5800"/>
    <w:rsid w:val="00EB0982"/>
    <w:rsid w:val="00EB28BF"/>
    <w:rsid w:val="00EB3918"/>
    <w:rsid w:val="00EB392E"/>
    <w:rsid w:val="00EB520D"/>
    <w:rsid w:val="00EB7486"/>
    <w:rsid w:val="00EC06CA"/>
    <w:rsid w:val="00EC704B"/>
    <w:rsid w:val="00EC73CA"/>
    <w:rsid w:val="00ED504D"/>
    <w:rsid w:val="00EE32CB"/>
    <w:rsid w:val="00EE3438"/>
    <w:rsid w:val="00EE51B1"/>
    <w:rsid w:val="00EE7196"/>
    <w:rsid w:val="00EF25F2"/>
    <w:rsid w:val="00EF63F1"/>
    <w:rsid w:val="00F01B14"/>
    <w:rsid w:val="00F0434B"/>
    <w:rsid w:val="00F1077E"/>
    <w:rsid w:val="00F10DEA"/>
    <w:rsid w:val="00F112F9"/>
    <w:rsid w:val="00F12614"/>
    <w:rsid w:val="00F1306F"/>
    <w:rsid w:val="00F13223"/>
    <w:rsid w:val="00F13444"/>
    <w:rsid w:val="00F21394"/>
    <w:rsid w:val="00F218AB"/>
    <w:rsid w:val="00F21EF1"/>
    <w:rsid w:val="00F24120"/>
    <w:rsid w:val="00F258FB"/>
    <w:rsid w:val="00F27776"/>
    <w:rsid w:val="00F27A18"/>
    <w:rsid w:val="00F27D81"/>
    <w:rsid w:val="00F3216A"/>
    <w:rsid w:val="00F33DBD"/>
    <w:rsid w:val="00F35435"/>
    <w:rsid w:val="00F369B1"/>
    <w:rsid w:val="00F36F98"/>
    <w:rsid w:val="00F4278F"/>
    <w:rsid w:val="00F43D1A"/>
    <w:rsid w:val="00F445F6"/>
    <w:rsid w:val="00F44DCA"/>
    <w:rsid w:val="00F505E8"/>
    <w:rsid w:val="00F53D18"/>
    <w:rsid w:val="00F549EE"/>
    <w:rsid w:val="00F55EE0"/>
    <w:rsid w:val="00F57325"/>
    <w:rsid w:val="00F57FD1"/>
    <w:rsid w:val="00F57FDD"/>
    <w:rsid w:val="00F601BA"/>
    <w:rsid w:val="00F60FD4"/>
    <w:rsid w:val="00F749CC"/>
    <w:rsid w:val="00F77248"/>
    <w:rsid w:val="00F77C72"/>
    <w:rsid w:val="00F80AEC"/>
    <w:rsid w:val="00F80F19"/>
    <w:rsid w:val="00F84893"/>
    <w:rsid w:val="00F857F1"/>
    <w:rsid w:val="00F86658"/>
    <w:rsid w:val="00F86EA5"/>
    <w:rsid w:val="00F870B1"/>
    <w:rsid w:val="00F876D1"/>
    <w:rsid w:val="00F87A5A"/>
    <w:rsid w:val="00F91295"/>
    <w:rsid w:val="00F927E8"/>
    <w:rsid w:val="00F92BBF"/>
    <w:rsid w:val="00F940CE"/>
    <w:rsid w:val="00F94A19"/>
    <w:rsid w:val="00F966B3"/>
    <w:rsid w:val="00FA2FA1"/>
    <w:rsid w:val="00FA364D"/>
    <w:rsid w:val="00FA74AF"/>
    <w:rsid w:val="00FA7910"/>
    <w:rsid w:val="00FB02E3"/>
    <w:rsid w:val="00FB03CD"/>
    <w:rsid w:val="00FB08E9"/>
    <w:rsid w:val="00FB1B07"/>
    <w:rsid w:val="00FB3421"/>
    <w:rsid w:val="00FB38FE"/>
    <w:rsid w:val="00FB71B2"/>
    <w:rsid w:val="00FB7945"/>
    <w:rsid w:val="00FC2FC7"/>
    <w:rsid w:val="00FC35AA"/>
    <w:rsid w:val="00FC52D9"/>
    <w:rsid w:val="00FD1A23"/>
    <w:rsid w:val="00FD2827"/>
    <w:rsid w:val="00FD2B84"/>
    <w:rsid w:val="00FD57CD"/>
    <w:rsid w:val="00FD72FD"/>
    <w:rsid w:val="00FE2B09"/>
    <w:rsid w:val="00FE4EE9"/>
    <w:rsid w:val="00FE4FFA"/>
    <w:rsid w:val="00FE535B"/>
    <w:rsid w:val="00FE75F3"/>
    <w:rsid w:val="00FE7FA2"/>
    <w:rsid w:val="00FF0531"/>
    <w:rsid w:val="00FF2371"/>
    <w:rsid w:val="01760E48"/>
    <w:rsid w:val="036852A3"/>
    <w:rsid w:val="036E0A3F"/>
    <w:rsid w:val="03846851"/>
    <w:rsid w:val="03CF7DCE"/>
    <w:rsid w:val="03E55313"/>
    <w:rsid w:val="04380EA2"/>
    <w:rsid w:val="04EE0571"/>
    <w:rsid w:val="05296A8B"/>
    <w:rsid w:val="06C4349F"/>
    <w:rsid w:val="076B498B"/>
    <w:rsid w:val="07807574"/>
    <w:rsid w:val="08240E0D"/>
    <w:rsid w:val="08EB66DB"/>
    <w:rsid w:val="093C314A"/>
    <w:rsid w:val="0949063D"/>
    <w:rsid w:val="09F07711"/>
    <w:rsid w:val="0A356041"/>
    <w:rsid w:val="0A8505D8"/>
    <w:rsid w:val="0AC801F0"/>
    <w:rsid w:val="0AE64E7B"/>
    <w:rsid w:val="0B7B191B"/>
    <w:rsid w:val="0B847508"/>
    <w:rsid w:val="0BCF3905"/>
    <w:rsid w:val="0C5B5FC9"/>
    <w:rsid w:val="0CD47CD9"/>
    <w:rsid w:val="0CED4443"/>
    <w:rsid w:val="0DE11BD9"/>
    <w:rsid w:val="0EEC0710"/>
    <w:rsid w:val="0F236C6F"/>
    <w:rsid w:val="0F2A5FAF"/>
    <w:rsid w:val="0FF717EC"/>
    <w:rsid w:val="107533F2"/>
    <w:rsid w:val="1091203B"/>
    <w:rsid w:val="1133686F"/>
    <w:rsid w:val="115C600E"/>
    <w:rsid w:val="11977BEC"/>
    <w:rsid w:val="120D6DEE"/>
    <w:rsid w:val="12AA555A"/>
    <w:rsid w:val="13121181"/>
    <w:rsid w:val="14221E9E"/>
    <w:rsid w:val="14C074C4"/>
    <w:rsid w:val="150D3BB0"/>
    <w:rsid w:val="155904F6"/>
    <w:rsid w:val="156C461A"/>
    <w:rsid w:val="158865BF"/>
    <w:rsid w:val="15EA0B4D"/>
    <w:rsid w:val="18A66D7E"/>
    <w:rsid w:val="19BA017D"/>
    <w:rsid w:val="19FC184A"/>
    <w:rsid w:val="1A266B62"/>
    <w:rsid w:val="1A82326C"/>
    <w:rsid w:val="1AE01148"/>
    <w:rsid w:val="1BB62D37"/>
    <w:rsid w:val="1C0859B0"/>
    <w:rsid w:val="1C4A4608"/>
    <w:rsid w:val="1CD80753"/>
    <w:rsid w:val="201F47EE"/>
    <w:rsid w:val="20CA0750"/>
    <w:rsid w:val="226B4BA5"/>
    <w:rsid w:val="23096F69"/>
    <w:rsid w:val="238C0232"/>
    <w:rsid w:val="24CE5A80"/>
    <w:rsid w:val="26432031"/>
    <w:rsid w:val="294302D7"/>
    <w:rsid w:val="295219EC"/>
    <w:rsid w:val="29D931E9"/>
    <w:rsid w:val="2A181B05"/>
    <w:rsid w:val="2AE242F1"/>
    <w:rsid w:val="2B382D56"/>
    <w:rsid w:val="2BF40F47"/>
    <w:rsid w:val="2D307E3F"/>
    <w:rsid w:val="2D4820F8"/>
    <w:rsid w:val="2EE8765A"/>
    <w:rsid w:val="2F4F3E34"/>
    <w:rsid w:val="2F930F7D"/>
    <w:rsid w:val="2F9715BF"/>
    <w:rsid w:val="3001303D"/>
    <w:rsid w:val="31007775"/>
    <w:rsid w:val="31A65EEE"/>
    <w:rsid w:val="31EB2BF7"/>
    <w:rsid w:val="32245CED"/>
    <w:rsid w:val="3297088B"/>
    <w:rsid w:val="3362102D"/>
    <w:rsid w:val="349920E6"/>
    <w:rsid w:val="35B474AB"/>
    <w:rsid w:val="36A90CD8"/>
    <w:rsid w:val="36BF0B53"/>
    <w:rsid w:val="370E00A1"/>
    <w:rsid w:val="376323E0"/>
    <w:rsid w:val="37A30ED5"/>
    <w:rsid w:val="397D2D4E"/>
    <w:rsid w:val="3A956E44"/>
    <w:rsid w:val="3AD44EB5"/>
    <w:rsid w:val="3AE9392E"/>
    <w:rsid w:val="3B4158EA"/>
    <w:rsid w:val="3B513D90"/>
    <w:rsid w:val="3BB17BE4"/>
    <w:rsid w:val="3C196A48"/>
    <w:rsid w:val="3CE3175E"/>
    <w:rsid w:val="3D920D3D"/>
    <w:rsid w:val="3F6F79F0"/>
    <w:rsid w:val="3FFC5C68"/>
    <w:rsid w:val="409049C7"/>
    <w:rsid w:val="40BC35C9"/>
    <w:rsid w:val="415B3553"/>
    <w:rsid w:val="426C16A7"/>
    <w:rsid w:val="43343563"/>
    <w:rsid w:val="43B52AAF"/>
    <w:rsid w:val="43DB58F7"/>
    <w:rsid w:val="46952A95"/>
    <w:rsid w:val="46DF06C5"/>
    <w:rsid w:val="471819AB"/>
    <w:rsid w:val="47A371D8"/>
    <w:rsid w:val="47E51E1D"/>
    <w:rsid w:val="4857783B"/>
    <w:rsid w:val="489974CB"/>
    <w:rsid w:val="49FE30D1"/>
    <w:rsid w:val="4ACE17D3"/>
    <w:rsid w:val="4B403B39"/>
    <w:rsid w:val="4B6A2DE0"/>
    <w:rsid w:val="4C1E793A"/>
    <w:rsid w:val="4CC0700B"/>
    <w:rsid w:val="4E241C49"/>
    <w:rsid w:val="4EA9200D"/>
    <w:rsid w:val="4EB010F4"/>
    <w:rsid w:val="4FE45EC0"/>
    <w:rsid w:val="4FF10530"/>
    <w:rsid w:val="506E4FF8"/>
    <w:rsid w:val="50DB2392"/>
    <w:rsid w:val="50E96C29"/>
    <w:rsid w:val="51592886"/>
    <w:rsid w:val="51AF1B10"/>
    <w:rsid w:val="51DD7627"/>
    <w:rsid w:val="52EB4848"/>
    <w:rsid w:val="55511438"/>
    <w:rsid w:val="558F701B"/>
    <w:rsid w:val="56762FAC"/>
    <w:rsid w:val="568F0938"/>
    <w:rsid w:val="56CF4879"/>
    <w:rsid w:val="56ED681F"/>
    <w:rsid w:val="575510EA"/>
    <w:rsid w:val="57750DFC"/>
    <w:rsid w:val="579E36EA"/>
    <w:rsid w:val="57D648FE"/>
    <w:rsid w:val="583A75CB"/>
    <w:rsid w:val="59121BA5"/>
    <w:rsid w:val="59195543"/>
    <w:rsid w:val="5A2F50F5"/>
    <w:rsid w:val="5AA242B4"/>
    <w:rsid w:val="5C03088D"/>
    <w:rsid w:val="5C1420B9"/>
    <w:rsid w:val="5CB42A56"/>
    <w:rsid w:val="5D601924"/>
    <w:rsid w:val="5D636B1A"/>
    <w:rsid w:val="5D801230"/>
    <w:rsid w:val="5D882B80"/>
    <w:rsid w:val="5DD464EC"/>
    <w:rsid w:val="60757C4E"/>
    <w:rsid w:val="609F3113"/>
    <w:rsid w:val="61D244C8"/>
    <w:rsid w:val="6208249F"/>
    <w:rsid w:val="6254514F"/>
    <w:rsid w:val="62E1288E"/>
    <w:rsid w:val="6315533E"/>
    <w:rsid w:val="63215B68"/>
    <w:rsid w:val="633F761F"/>
    <w:rsid w:val="63EA0E4D"/>
    <w:rsid w:val="642748F6"/>
    <w:rsid w:val="64743DA8"/>
    <w:rsid w:val="66285F62"/>
    <w:rsid w:val="67C14207"/>
    <w:rsid w:val="67F6030C"/>
    <w:rsid w:val="684617BD"/>
    <w:rsid w:val="690539C7"/>
    <w:rsid w:val="692F4C7A"/>
    <w:rsid w:val="6AA13A6B"/>
    <w:rsid w:val="6AEB5109"/>
    <w:rsid w:val="6C3B7EDD"/>
    <w:rsid w:val="6D7917A7"/>
    <w:rsid w:val="6E0C235C"/>
    <w:rsid w:val="6E1E624F"/>
    <w:rsid w:val="6E780416"/>
    <w:rsid w:val="6ED618A4"/>
    <w:rsid w:val="6F8E15FF"/>
    <w:rsid w:val="706D0AEB"/>
    <w:rsid w:val="707D3648"/>
    <w:rsid w:val="708064E7"/>
    <w:rsid w:val="712F3578"/>
    <w:rsid w:val="71573D01"/>
    <w:rsid w:val="72F111DE"/>
    <w:rsid w:val="736A12E7"/>
    <w:rsid w:val="744040EA"/>
    <w:rsid w:val="75892C08"/>
    <w:rsid w:val="760372DE"/>
    <w:rsid w:val="7613236C"/>
    <w:rsid w:val="76A97B6B"/>
    <w:rsid w:val="76FA4162"/>
    <w:rsid w:val="780443F9"/>
    <w:rsid w:val="78457534"/>
    <w:rsid w:val="78A31220"/>
    <w:rsid w:val="78FD4CC6"/>
    <w:rsid w:val="79D17DC2"/>
    <w:rsid w:val="7A1672BE"/>
    <w:rsid w:val="7A182149"/>
    <w:rsid w:val="7A943735"/>
    <w:rsid w:val="7ADB17C3"/>
    <w:rsid w:val="7B120190"/>
    <w:rsid w:val="7C0B5E5C"/>
    <w:rsid w:val="7CCA657A"/>
    <w:rsid w:val="7DBB2AE0"/>
    <w:rsid w:val="7E344512"/>
    <w:rsid w:val="7EE56ECF"/>
    <w:rsid w:val="7F170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9"/>
    <w:unhideWhenUsed/>
    <w:qFormat/>
    <w:uiPriority w:val="99"/>
    <w:pPr>
      <w:jc w:val="left"/>
    </w:pPr>
    <w:rPr>
      <w:rFonts w:ascii="等线" w:hAnsi="等线" w:eastAsia="等线" w:cs="黑体"/>
      <w:szCs w:val="22"/>
    </w:rPr>
  </w:style>
  <w:style w:type="paragraph" w:styleId="3">
    <w:name w:val="Balloon Text"/>
    <w:basedOn w:val="1"/>
    <w:link w:val="20"/>
    <w:qFormat/>
    <w:uiPriority w:val="0"/>
    <w:rPr>
      <w:sz w:val="18"/>
      <w:szCs w:val="18"/>
    </w:rPr>
  </w:style>
  <w:style w:type="paragraph" w:styleId="4">
    <w:name w:val="footer"/>
    <w:basedOn w:val="1"/>
    <w:link w:val="18"/>
    <w:qFormat/>
    <w:uiPriority w:val="0"/>
    <w:pPr>
      <w:tabs>
        <w:tab w:val="center" w:pos="4153"/>
        <w:tab w:val="right" w:pos="8306"/>
      </w:tabs>
      <w:snapToGrid w:val="0"/>
      <w:jc w:val="left"/>
    </w:pPr>
    <w:rPr>
      <w:sz w:val="18"/>
      <w:szCs w:val="18"/>
    </w:rPr>
  </w:style>
  <w:style w:type="paragraph" w:styleId="5">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6">
    <w:name w:val="annotation subject"/>
    <w:basedOn w:val="2"/>
    <w:next w:val="2"/>
    <w:link w:val="21"/>
    <w:qFormat/>
    <w:uiPriority w:val="0"/>
    <w:rPr>
      <w:rFonts w:asciiTheme="minorHAnsi" w:hAnsiTheme="minorHAnsi" w:eastAsiaTheme="minorEastAsia" w:cstheme="minorBidi"/>
      <w:b/>
      <w:bCs/>
      <w:szCs w:val="24"/>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Hyperlink"/>
    <w:basedOn w:val="9"/>
    <w:qFormat/>
    <w:uiPriority w:val="0"/>
    <w:rPr>
      <w:color w:val="0563C1" w:themeColor="hyperlink"/>
      <w:u w:val="single"/>
      <w14:textFill>
        <w14:solidFill>
          <w14:schemeClr w14:val="hlink"/>
        </w14:solidFill>
      </w14:textFill>
    </w:rPr>
  </w:style>
  <w:style w:type="character" w:styleId="11">
    <w:name w:val="annotation reference"/>
    <w:basedOn w:val="9"/>
    <w:qFormat/>
    <w:uiPriority w:val="0"/>
    <w:rPr>
      <w:sz w:val="21"/>
      <w:szCs w:val="21"/>
    </w:rPr>
  </w:style>
  <w:style w:type="paragraph" w:customStyle="1" w:styleId="12">
    <w:name w:val="列表段落1"/>
    <w:basedOn w:val="1"/>
    <w:qFormat/>
    <w:uiPriority w:val="99"/>
    <w:pPr>
      <w:ind w:firstLine="420" w:firstLineChars="200"/>
    </w:pPr>
  </w:style>
  <w:style w:type="paragraph" w:customStyle="1" w:styleId="13">
    <w:name w:val="列出段落1"/>
    <w:basedOn w:val="1"/>
    <w:qFormat/>
    <w:uiPriority w:val="99"/>
    <w:pPr>
      <w:ind w:firstLine="420" w:firstLineChars="200"/>
    </w:pPr>
    <w:rPr>
      <w:rFonts w:ascii="Calibri" w:hAnsi="Calibri" w:eastAsia="宋体" w:cs="黑体"/>
    </w:rPr>
  </w:style>
  <w:style w:type="paragraph" w:customStyle="1" w:styleId="14">
    <w:name w:val="列出段落4"/>
    <w:basedOn w:val="1"/>
    <w:qFormat/>
    <w:uiPriority w:val="99"/>
    <w:pPr>
      <w:ind w:firstLine="420" w:firstLineChars="200"/>
    </w:pPr>
    <w:rPr>
      <w:rFonts w:ascii="等线" w:hAnsi="等线" w:eastAsia="等线" w:cs="黑体"/>
      <w:szCs w:val="22"/>
    </w:rPr>
  </w:style>
  <w:style w:type="paragraph" w:customStyle="1" w:styleId="15">
    <w:name w:val="列出段落7"/>
    <w:basedOn w:val="1"/>
    <w:qFormat/>
    <w:uiPriority w:val="99"/>
    <w:pPr>
      <w:ind w:firstLine="420" w:firstLineChars="200"/>
    </w:pPr>
    <w:rPr>
      <w:rFonts w:ascii="等线" w:hAnsi="等线" w:eastAsia="等线" w:cs="黑体"/>
      <w:szCs w:val="22"/>
    </w:rPr>
  </w:style>
  <w:style w:type="character" w:customStyle="1" w:styleId="16">
    <w:name w:val="未处理的提及1"/>
    <w:basedOn w:val="9"/>
    <w:unhideWhenUsed/>
    <w:qFormat/>
    <w:uiPriority w:val="99"/>
    <w:rPr>
      <w:color w:val="605E5C"/>
      <w:shd w:val="clear" w:color="auto" w:fill="E1DFDD"/>
    </w:rPr>
  </w:style>
  <w:style w:type="character" w:customStyle="1" w:styleId="17">
    <w:name w:val="页眉 字符"/>
    <w:basedOn w:val="9"/>
    <w:link w:val="5"/>
    <w:qFormat/>
    <w:uiPriority w:val="0"/>
    <w:rPr>
      <w:kern w:val="2"/>
      <w:sz w:val="18"/>
      <w:szCs w:val="18"/>
    </w:rPr>
  </w:style>
  <w:style w:type="character" w:customStyle="1" w:styleId="18">
    <w:name w:val="页脚 字符"/>
    <w:basedOn w:val="9"/>
    <w:link w:val="4"/>
    <w:qFormat/>
    <w:uiPriority w:val="0"/>
    <w:rPr>
      <w:kern w:val="2"/>
      <w:sz w:val="18"/>
      <w:szCs w:val="18"/>
    </w:rPr>
  </w:style>
  <w:style w:type="character" w:customStyle="1" w:styleId="19">
    <w:name w:val="批注文字 字符"/>
    <w:basedOn w:val="9"/>
    <w:link w:val="2"/>
    <w:qFormat/>
    <w:uiPriority w:val="99"/>
    <w:rPr>
      <w:rFonts w:ascii="等线" w:hAnsi="等线" w:eastAsia="等线" w:cs="黑体"/>
      <w:kern w:val="2"/>
      <w:sz w:val="21"/>
      <w:szCs w:val="22"/>
    </w:rPr>
  </w:style>
  <w:style w:type="character" w:customStyle="1" w:styleId="20">
    <w:name w:val="批注框文本 字符"/>
    <w:basedOn w:val="9"/>
    <w:link w:val="3"/>
    <w:qFormat/>
    <w:uiPriority w:val="0"/>
    <w:rPr>
      <w:kern w:val="2"/>
      <w:sz w:val="18"/>
      <w:szCs w:val="18"/>
    </w:rPr>
  </w:style>
  <w:style w:type="character" w:customStyle="1" w:styleId="21">
    <w:name w:val="批注主题 字符"/>
    <w:basedOn w:val="19"/>
    <w:link w:val="6"/>
    <w:qFormat/>
    <w:uiPriority w:val="0"/>
    <w:rPr>
      <w:rFonts w:ascii="等线" w:hAnsi="等线" w:eastAsia="等线" w:cs="黑体"/>
      <w:b/>
      <w:bCs/>
      <w:kern w:val="2"/>
      <w:sz w:val="21"/>
      <w:szCs w:val="24"/>
    </w:rPr>
  </w:style>
  <w:style w:type="paragraph" w:customStyle="1" w:styleId="22">
    <w:name w:val="List Paragraph2"/>
    <w:basedOn w:val="1"/>
    <w:qFormat/>
    <w:uiPriority w:val="99"/>
    <w:pPr>
      <w:ind w:firstLine="420" w:firstLineChars="200"/>
    </w:pPr>
  </w:style>
  <w:style w:type="paragraph" w:customStyle="1" w:styleId="23">
    <w:name w:val="修订1"/>
    <w:hidden/>
    <w:semiHidden/>
    <w:qFormat/>
    <w:uiPriority w:val="99"/>
    <w:rPr>
      <w:rFonts w:asciiTheme="minorHAnsi" w:hAnsiTheme="minorHAnsi" w:eastAsiaTheme="minorEastAsia" w:cstheme="minorBidi"/>
      <w:kern w:val="2"/>
      <w:sz w:val="21"/>
      <w:szCs w:val="24"/>
      <w:lang w:val="en-US" w:eastAsia="zh-CN" w:bidi="ar-SA"/>
    </w:rPr>
  </w:style>
  <w:style w:type="paragraph" w:styleId="24">
    <w:name w:val="List Paragraph"/>
    <w:basedOn w:val="1"/>
    <w:qFormat/>
    <w:uiPriority w:val="99"/>
    <w:pPr>
      <w:ind w:firstLine="420" w:firstLineChars="200"/>
    </w:pPr>
  </w:style>
  <w:style w:type="paragraph" w:customStyle="1" w:styleId="25">
    <w:name w:val="修订2"/>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6">
    <w:name w:val="修订3"/>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7">
    <w:name w:val="修订4"/>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8">
    <w:name w:val="修订5"/>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29">
    <w:name w:val="未处理的提及2"/>
    <w:basedOn w:val="9"/>
    <w:semiHidden/>
    <w:unhideWhenUsed/>
    <w:qFormat/>
    <w:uiPriority w:val="99"/>
    <w:rPr>
      <w:color w:val="605E5C"/>
      <w:shd w:val="clear" w:color="auto" w:fill="E1DFDD"/>
    </w:rPr>
  </w:style>
  <w:style w:type="paragraph" w:customStyle="1" w:styleId="30">
    <w:name w:val="修订6"/>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31">
    <w:name w:val="修订7"/>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32">
    <w:name w:val="Revision"/>
    <w:hidden/>
    <w:unhideWhenUsed/>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3.bin"/><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1F9B6D-29BE-4848-91D7-7723A74C4849}">
  <ds:schemaRefs/>
</ds:datastoreItem>
</file>

<file path=docProps/app.xml><?xml version="1.0" encoding="utf-8"?>
<Properties xmlns="http://schemas.openxmlformats.org/officeDocument/2006/extended-properties" xmlns:vt="http://schemas.openxmlformats.org/officeDocument/2006/docPropsVTypes">
  <Template>Normal</Template>
  <Pages>14</Pages>
  <Words>2503</Words>
  <Characters>14270</Characters>
  <Lines>118</Lines>
  <Paragraphs>33</Paragraphs>
  <TotalTime>2</TotalTime>
  <ScaleCrop>false</ScaleCrop>
  <LinksUpToDate>false</LinksUpToDate>
  <CharactersWithSpaces>16740</CharactersWithSpaces>
  <Application>WPS Office_12.8.2.17148_F1E327BC-269C-435d-A152-05C5408002CA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2024-12-09T07:23:00Z</dcterms:created>
  <dc:creator>limeng001</dc:creator>
  <cp:lastModifiedBy>yanyuecheng</cp:lastModifiedBy>
  <dcterms:modified xsi:type="dcterms:W3CDTF">2025-12-11T13:58:18Z</dcterms:modified>
  <cp:revision>89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2052-12.8.2.17148</vt:lpwstr>
  </property>
  <property fmtid="{D5CDD505-2E9C-101B-9397-08002B2CF9AE}" pid="3" name="ICV">
    <vt:lpwstr>52D4E5CC93CC418AAA033CD1CB495150</vt:lpwstr>
  </property>
</Properties>
</file>